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640112B7" w:rsidR="007048E8" w:rsidRPr="00AB4115" w:rsidRDefault="007E4F88" w:rsidP="00AB4115">
      <w:pPr>
        <w:spacing w:after="0" w:line="240" w:lineRule="auto"/>
        <w:jc w:val="center"/>
        <w:rPr>
          <w:rFonts w:ascii="Times New Roman" w:hAnsi="Times New Roman"/>
          <w:sz w:val="24"/>
          <w:szCs w:val="24"/>
        </w:rPr>
      </w:pPr>
      <w:r>
        <w:rPr>
          <w:rFonts w:ascii="Times New Roman" w:hAnsi="Times New Roman"/>
          <w:sz w:val="24"/>
          <w:szCs w:val="24"/>
        </w:rPr>
        <w:t>ΩA</w:t>
      </w:r>
      <w:r w:rsidR="003240FA" w:rsidRPr="00AB4115">
        <w:rPr>
          <w:rFonts w:ascii="Times New Roman" w:hAnsi="Times New Roman"/>
          <w:noProof/>
          <w:lang w:eastAsia="pt-BR"/>
        </w:rPr>
        <w:drawing>
          <wp:inline distT="0" distB="0" distL="0" distR="0" wp14:anchorId="24DB2E90" wp14:editId="07777777">
            <wp:extent cx="619125" cy="695325"/>
            <wp:effectExtent l="0" t="0" r="0" b="0"/>
            <wp:docPr id="1" name="Imagem 12" descr="C:\Documents and Settings\69501637115\Desktop\CURSO DE CAPACITAÇÃO\MANUAL VERSÃO FINAL\logo nova ICMBio\NovoLogoICMBio_Mar10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Documents and Settings\69501637115\Desktop\CURSO DE CAPACITAÇÃO\MANUAL VERSÃO FINAL\logo nova ICMBio\NovoLogoICMBio_Mar10_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inline>
        </w:drawing>
      </w:r>
    </w:p>
    <w:p w14:paraId="19C89AC5" w14:textId="77777777" w:rsidR="007048E8" w:rsidRPr="00AB4115" w:rsidRDefault="007048E8" w:rsidP="00AB4115">
      <w:pPr>
        <w:spacing w:after="0" w:line="240" w:lineRule="auto"/>
        <w:jc w:val="center"/>
        <w:rPr>
          <w:rFonts w:ascii="Times New Roman" w:hAnsi="Times New Roman"/>
          <w:b/>
          <w:bCs/>
          <w:sz w:val="20"/>
          <w:szCs w:val="20"/>
        </w:rPr>
      </w:pPr>
      <w:r w:rsidRPr="00AB4115">
        <w:rPr>
          <w:rFonts w:ascii="Times New Roman" w:hAnsi="Times New Roman"/>
          <w:b/>
          <w:bCs/>
          <w:sz w:val="20"/>
          <w:szCs w:val="20"/>
        </w:rPr>
        <w:t>MINISTÉRIO DO MEIO AMBIENTE</w:t>
      </w:r>
    </w:p>
    <w:p w14:paraId="1A0B47DE" w14:textId="77777777" w:rsidR="007048E8" w:rsidRPr="00AB4115" w:rsidRDefault="007048E8" w:rsidP="00AB4115">
      <w:pPr>
        <w:spacing w:after="0" w:line="240" w:lineRule="auto"/>
        <w:jc w:val="center"/>
        <w:rPr>
          <w:rFonts w:ascii="Times New Roman" w:hAnsi="Times New Roman"/>
          <w:b/>
          <w:bCs/>
          <w:sz w:val="20"/>
          <w:szCs w:val="20"/>
        </w:rPr>
      </w:pPr>
      <w:r w:rsidRPr="00AB4115">
        <w:rPr>
          <w:rFonts w:ascii="Times New Roman" w:hAnsi="Times New Roman"/>
          <w:b/>
          <w:bCs/>
          <w:sz w:val="20"/>
          <w:szCs w:val="20"/>
        </w:rPr>
        <w:t>INSTITUTO CHICO MENDES DE CONSERVAÇÃO DA BIODIVERSIDADE</w:t>
      </w:r>
    </w:p>
    <w:p w14:paraId="34DCE162" w14:textId="77777777" w:rsidR="007048E8" w:rsidRPr="00596308" w:rsidRDefault="007048E8" w:rsidP="00AB4115">
      <w:pPr>
        <w:spacing w:after="0" w:line="240" w:lineRule="auto"/>
        <w:jc w:val="center"/>
        <w:rPr>
          <w:rFonts w:ascii="Times New Roman" w:hAnsi="Times New Roman"/>
          <w:b/>
          <w:bCs/>
          <w:sz w:val="20"/>
        </w:rPr>
      </w:pPr>
      <w:r w:rsidRPr="00596308">
        <w:rPr>
          <w:rFonts w:ascii="Times New Roman" w:hAnsi="Times New Roman"/>
          <w:b/>
          <w:bCs/>
          <w:sz w:val="20"/>
        </w:rPr>
        <w:t xml:space="preserve">DIRETORIA </w:t>
      </w:r>
      <w:r w:rsidR="00CD4205" w:rsidRPr="00596308">
        <w:rPr>
          <w:rFonts w:ascii="Times New Roman" w:hAnsi="Times New Roman"/>
          <w:b/>
          <w:bCs/>
          <w:sz w:val="20"/>
        </w:rPr>
        <w:t xml:space="preserve">DE </w:t>
      </w:r>
      <w:r w:rsidRPr="00596308">
        <w:rPr>
          <w:rFonts w:ascii="Times New Roman" w:hAnsi="Times New Roman"/>
          <w:b/>
          <w:bCs/>
          <w:sz w:val="20"/>
        </w:rPr>
        <w:t>PESQUISA, AVALIAÇÃO E MONITORAMENTO DA BIODIVERSIDADE</w:t>
      </w:r>
    </w:p>
    <w:p w14:paraId="234ADCE7" w14:textId="77777777" w:rsidR="007048E8" w:rsidRPr="00AB4115" w:rsidRDefault="007048E8" w:rsidP="00AB4115">
      <w:pPr>
        <w:spacing w:after="0" w:line="240" w:lineRule="auto"/>
        <w:jc w:val="center"/>
        <w:rPr>
          <w:rFonts w:ascii="Times New Roman" w:hAnsi="Times New Roman"/>
          <w:b/>
          <w:sz w:val="20"/>
          <w:szCs w:val="20"/>
        </w:rPr>
      </w:pPr>
      <w:r w:rsidRPr="00AB4115">
        <w:rPr>
          <w:rFonts w:ascii="Times New Roman" w:hAnsi="Times New Roman"/>
          <w:b/>
          <w:sz w:val="20"/>
          <w:szCs w:val="20"/>
        </w:rPr>
        <w:t>CENTRO NACIONAL DE PESQUISA E CONSERVAÇÃO DE TARTARUGAS MARINHAS</w:t>
      </w:r>
    </w:p>
    <w:p w14:paraId="42610632" w14:textId="77777777" w:rsidR="007048E8" w:rsidRPr="00AB4115" w:rsidRDefault="00931731" w:rsidP="00AB4115">
      <w:pPr>
        <w:spacing w:before="100" w:beforeAutospacing="1" w:after="100" w:afterAutospacing="1" w:line="240" w:lineRule="auto"/>
        <w:jc w:val="both"/>
        <w:rPr>
          <w:rFonts w:ascii="Times New Roman" w:hAnsi="Times New Roman"/>
          <w:b/>
          <w:sz w:val="24"/>
          <w:szCs w:val="24"/>
        </w:rPr>
      </w:pPr>
      <w:r w:rsidRPr="00AB4115">
        <w:rPr>
          <w:rFonts w:ascii="Times New Roman" w:hAnsi="Times New Roman"/>
          <w:b/>
          <w:sz w:val="24"/>
          <w:szCs w:val="24"/>
        </w:rPr>
        <w:t xml:space="preserve">Relatório </w:t>
      </w:r>
      <w:r w:rsidR="007048E8" w:rsidRPr="00AB4115">
        <w:rPr>
          <w:rFonts w:ascii="Times New Roman" w:hAnsi="Times New Roman"/>
          <w:b/>
          <w:sz w:val="24"/>
          <w:szCs w:val="24"/>
        </w:rPr>
        <w:t xml:space="preserve">n° </w:t>
      </w:r>
      <w:proofErr w:type="spellStart"/>
      <w:r w:rsidR="00212417" w:rsidRPr="00AB4115">
        <w:rPr>
          <w:rFonts w:ascii="Times New Roman" w:hAnsi="Times New Roman"/>
          <w:b/>
          <w:sz w:val="24"/>
          <w:szCs w:val="24"/>
        </w:rPr>
        <w:t>xx</w:t>
      </w:r>
      <w:proofErr w:type="spellEnd"/>
      <w:r w:rsidR="007048E8" w:rsidRPr="00AB4115">
        <w:rPr>
          <w:rFonts w:ascii="Times New Roman" w:hAnsi="Times New Roman"/>
          <w:b/>
          <w:sz w:val="24"/>
          <w:szCs w:val="24"/>
        </w:rPr>
        <w:t>/</w:t>
      </w:r>
      <w:r w:rsidR="00212417" w:rsidRPr="00AB4115">
        <w:rPr>
          <w:rFonts w:ascii="Times New Roman" w:hAnsi="Times New Roman"/>
          <w:b/>
          <w:sz w:val="24"/>
          <w:szCs w:val="24"/>
        </w:rPr>
        <w:t>202</w:t>
      </w:r>
      <w:r w:rsidR="0046141C">
        <w:rPr>
          <w:rFonts w:ascii="Times New Roman" w:hAnsi="Times New Roman"/>
          <w:b/>
          <w:sz w:val="24"/>
          <w:szCs w:val="24"/>
        </w:rPr>
        <w:t>2</w:t>
      </w:r>
      <w:r w:rsidR="007048E8" w:rsidRPr="00AB4115">
        <w:rPr>
          <w:rFonts w:ascii="Times New Roman" w:hAnsi="Times New Roman"/>
          <w:b/>
          <w:sz w:val="24"/>
          <w:szCs w:val="24"/>
        </w:rPr>
        <w:t xml:space="preserve"> Centro TAM</w:t>
      </w:r>
      <w:r w:rsidR="007C59BA" w:rsidRPr="00AB4115">
        <w:rPr>
          <w:rFonts w:ascii="Times New Roman" w:hAnsi="Times New Roman"/>
          <w:b/>
          <w:sz w:val="24"/>
          <w:szCs w:val="24"/>
        </w:rPr>
        <w:t>AR-</w:t>
      </w:r>
      <w:proofErr w:type="spellStart"/>
      <w:r w:rsidR="007C59BA" w:rsidRPr="00AB4115">
        <w:rPr>
          <w:rFonts w:ascii="Times New Roman" w:hAnsi="Times New Roman"/>
          <w:b/>
          <w:sz w:val="24"/>
          <w:szCs w:val="24"/>
        </w:rPr>
        <w:t>ICMBio</w:t>
      </w:r>
      <w:proofErr w:type="spellEnd"/>
    </w:p>
    <w:p w14:paraId="689B89F2" w14:textId="77777777" w:rsidR="009852AF" w:rsidRPr="00E55C7C" w:rsidRDefault="007048E8" w:rsidP="00AB4115">
      <w:pPr>
        <w:spacing w:before="100" w:beforeAutospacing="1" w:after="100" w:afterAutospacing="1" w:line="240" w:lineRule="auto"/>
        <w:jc w:val="both"/>
        <w:rPr>
          <w:rFonts w:ascii="Times New Roman" w:hAnsi="Times New Roman"/>
          <w:b/>
          <w:sz w:val="24"/>
          <w:szCs w:val="24"/>
          <w:lang w:val="x-none"/>
        </w:rPr>
      </w:pPr>
      <w:r w:rsidRPr="00E55C7C">
        <w:rPr>
          <w:rFonts w:ascii="Times New Roman" w:hAnsi="Times New Roman"/>
          <w:b/>
          <w:sz w:val="24"/>
          <w:szCs w:val="24"/>
        </w:rPr>
        <w:t>Assunto</w:t>
      </w:r>
      <w:r w:rsidRPr="00E55C7C">
        <w:rPr>
          <w:rFonts w:ascii="Times New Roman" w:hAnsi="Times New Roman"/>
          <w:b/>
          <w:sz w:val="24"/>
          <w:szCs w:val="24"/>
          <w:lang w:val="x-none"/>
        </w:rPr>
        <w:t xml:space="preserve">: </w:t>
      </w:r>
      <w:r w:rsidR="00931731" w:rsidRPr="00E55C7C">
        <w:rPr>
          <w:rFonts w:ascii="Times New Roman" w:hAnsi="Times New Roman"/>
          <w:b/>
          <w:sz w:val="24"/>
          <w:szCs w:val="24"/>
        </w:rPr>
        <w:t xml:space="preserve">Relatório </w:t>
      </w:r>
      <w:r w:rsidR="009E602C" w:rsidRPr="00E55C7C">
        <w:rPr>
          <w:rFonts w:ascii="Times New Roman" w:hAnsi="Times New Roman"/>
          <w:b/>
          <w:sz w:val="24"/>
          <w:szCs w:val="24"/>
        </w:rPr>
        <w:t xml:space="preserve">Anual de </w:t>
      </w:r>
      <w:r w:rsidR="005C2337" w:rsidRPr="00E55C7C">
        <w:rPr>
          <w:rFonts w:ascii="Times New Roman" w:hAnsi="Times New Roman"/>
          <w:b/>
          <w:sz w:val="24"/>
          <w:szCs w:val="24"/>
        </w:rPr>
        <w:t>produtos gerados</w:t>
      </w:r>
      <w:r w:rsidR="00706123" w:rsidRPr="00E55C7C">
        <w:rPr>
          <w:rFonts w:ascii="Times New Roman" w:hAnsi="Times New Roman"/>
          <w:b/>
          <w:sz w:val="24"/>
          <w:szCs w:val="24"/>
        </w:rPr>
        <w:t xml:space="preserve"> no âmbito </w:t>
      </w:r>
      <w:r w:rsidR="003562CE" w:rsidRPr="00E55C7C">
        <w:rPr>
          <w:rFonts w:ascii="Times New Roman" w:hAnsi="Times New Roman"/>
          <w:b/>
          <w:sz w:val="24"/>
          <w:szCs w:val="24"/>
        </w:rPr>
        <w:t>do Licenciamento</w:t>
      </w:r>
      <w:r w:rsidR="005D0E38" w:rsidRPr="00E55C7C">
        <w:rPr>
          <w:rFonts w:ascii="Times New Roman" w:hAnsi="Times New Roman"/>
          <w:b/>
          <w:sz w:val="24"/>
          <w:szCs w:val="24"/>
        </w:rPr>
        <w:t xml:space="preserve"> Ambiental</w:t>
      </w:r>
      <w:r w:rsidR="003562CE" w:rsidRPr="00E55C7C">
        <w:rPr>
          <w:rFonts w:ascii="Times New Roman" w:hAnsi="Times New Roman"/>
          <w:b/>
          <w:sz w:val="24"/>
          <w:szCs w:val="24"/>
        </w:rPr>
        <w:t xml:space="preserve"> do Centro TAMAR</w:t>
      </w:r>
      <w:r w:rsidR="009E602C" w:rsidRPr="00E55C7C">
        <w:rPr>
          <w:rFonts w:ascii="Times New Roman" w:hAnsi="Times New Roman"/>
          <w:b/>
          <w:sz w:val="24"/>
          <w:szCs w:val="24"/>
        </w:rPr>
        <w:t xml:space="preserve"> – </w:t>
      </w:r>
      <w:r w:rsidR="00212417" w:rsidRPr="00E55C7C">
        <w:rPr>
          <w:rFonts w:ascii="Times New Roman" w:hAnsi="Times New Roman"/>
          <w:b/>
          <w:sz w:val="24"/>
          <w:szCs w:val="24"/>
        </w:rPr>
        <w:t>202</w:t>
      </w:r>
      <w:r w:rsidR="005B7B2F">
        <w:rPr>
          <w:rFonts w:ascii="Times New Roman" w:hAnsi="Times New Roman"/>
          <w:b/>
          <w:sz w:val="24"/>
          <w:szCs w:val="24"/>
        </w:rPr>
        <w:t>1</w:t>
      </w:r>
      <w:r w:rsidR="00931731" w:rsidRPr="00E55C7C">
        <w:rPr>
          <w:rFonts w:ascii="Times New Roman" w:hAnsi="Times New Roman"/>
          <w:b/>
          <w:sz w:val="24"/>
          <w:szCs w:val="24"/>
        </w:rPr>
        <w:t>.</w:t>
      </w:r>
      <w:r w:rsidR="009852AF" w:rsidRPr="00E55C7C">
        <w:rPr>
          <w:rFonts w:ascii="Times New Roman" w:hAnsi="Times New Roman"/>
          <w:b/>
          <w:sz w:val="24"/>
          <w:szCs w:val="24"/>
          <w:lang w:val="x-none"/>
        </w:rPr>
        <w:t xml:space="preserve"> </w:t>
      </w:r>
    </w:p>
    <w:p w14:paraId="0A37501D" w14:textId="77777777" w:rsidR="00AB4115" w:rsidRDefault="00AB4115" w:rsidP="00AB4115">
      <w:pPr>
        <w:spacing w:before="100" w:beforeAutospacing="1" w:after="100" w:afterAutospacing="1" w:line="240" w:lineRule="auto"/>
        <w:jc w:val="both"/>
        <w:rPr>
          <w:rFonts w:ascii="Times New Roman" w:hAnsi="Times New Roman"/>
          <w:b/>
          <w:caps/>
          <w:color w:val="0070C0"/>
          <w:sz w:val="24"/>
          <w:szCs w:val="24"/>
        </w:rPr>
      </w:pPr>
    </w:p>
    <w:p w14:paraId="5CEB2FDD" w14:textId="77777777" w:rsidR="007048E8" w:rsidRPr="00E55C7C" w:rsidRDefault="007048E8" w:rsidP="00AB4115">
      <w:pPr>
        <w:spacing w:before="100" w:beforeAutospacing="1" w:after="100" w:afterAutospacing="1" w:line="240" w:lineRule="auto"/>
        <w:jc w:val="both"/>
        <w:rPr>
          <w:rFonts w:ascii="Times New Roman" w:hAnsi="Times New Roman"/>
          <w:b/>
          <w:caps/>
          <w:sz w:val="24"/>
          <w:szCs w:val="24"/>
        </w:rPr>
      </w:pPr>
      <w:r w:rsidRPr="00E55C7C">
        <w:rPr>
          <w:rFonts w:ascii="Times New Roman" w:hAnsi="Times New Roman"/>
          <w:b/>
          <w:caps/>
          <w:sz w:val="24"/>
          <w:szCs w:val="24"/>
        </w:rPr>
        <w:t>I – Introdução</w:t>
      </w:r>
    </w:p>
    <w:p w14:paraId="1C9AE90B" w14:textId="77777777" w:rsidR="00507EEE" w:rsidRPr="00507EEE" w:rsidRDefault="00507EEE" w:rsidP="00507EEE">
      <w:pPr>
        <w:spacing w:before="100" w:beforeAutospacing="1" w:after="100" w:afterAutospacing="1" w:line="240" w:lineRule="auto"/>
        <w:jc w:val="both"/>
        <w:rPr>
          <w:rFonts w:ascii="Times New Roman" w:hAnsi="Times New Roman"/>
        </w:rPr>
      </w:pPr>
      <w:r w:rsidRPr="00507EEE">
        <w:rPr>
          <w:rFonts w:ascii="Times New Roman" w:hAnsi="Times New Roman"/>
        </w:rPr>
        <w:t>Este relatório apresenta um resumo dos resultados gerados no âmbito do licenciamento ambiental executadas pelo Centro TAMAR no ano de 2021.</w:t>
      </w:r>
    </w:p>
    <w:p w14:paraId="6D4B0CF3" w14:textId="73B39731" w:rsidR="003B2368" w:rsidRPr="00E55C7C" w:rsidRDefault="00507EEE" w:rsidP="00507EEE">
      <w:pPr>
        <w:spacing w:before="100" w:beforeAutospacing="1" w:after="100" w:afterAutospacing="1" w:line="240" w:lineRule="auto"/>
        <w:jc w:val="both"/>
        <w:rPr>
          <w:rFonts w:ascii="Times New Roman" w:hAnsi="Times New Roman"/>
        </w:rPr>
      </w:pPr>
      <w:r w:rsidRPr="00507EEE">
        <w:rPr>
          <w:rFonts w:ascii="Times New Roman" w:hAnsi="Times New Roman"/>
        </w:rPr>
        <w:t>Inicialmente, será apresentado um breve histórico da atuação deste Centro nos processos de licenciamento e, em seguida, as principais atividades executadas e resultados obtidos em 2021.</w:t>
      </w:r>
      <w:r w:rsidR="00931731" w:rsidRPr="00E55C7C">
        <w:rPr>
          <w:rFonts w:ascii="Times New Roman" w:hAnsi="Times New Roman"/>
        </w:rPr>
        <w:t xml:space="preserve"> </w:t>
      </w:r>
    </w:p>
    <w:p w14:paraId="5DAB6C7B" w14:textId="77777777" w:rsidR="00AF290D" w:rsidRPr="00AB4115" w:rsidRDefault="00AF290D" w:rsidP="00AB4115">
      <w:pPr>
        <w:spacing w:before="100" w:beforeAutospacing="1" w:after="100" w:afterAutospacing="1" w:line="240" w:lineRule="auto"/>
        <w:jc w:val="both"/>
        <w:rPr>
          <w:rFonts w:ascii="Times New Roman" w:hAnsi="Times New Roman"/>
          <w:b/>
          <w:sz w:val="24"/>
          <w:szCs w:val="24"/>
        </w:rPr>
      </w:pPr>
    </w:p>
    <w:p w14:paraId="0810DC63" w14:textId="77777777" w:rsidR="007048E8" w:rsidRPr="00AB4115" w:rsidRDefault="00931731" w:rsidP="00AB4115">
      <w:pPr>
        <w:spacing w:before="100" w:beforeAutospacing="1" w:after="100" w:afterAutospacing="1" w:line="240" w:lineRule="auto"/>
        <w:jc w:val="both"/>
        <w:rPr>
          <w:rFonts w:ascii="Times New Roman" w:hAnsi="Times New Roman"/>
          <w:b/>
          <w:sz w:val="24"/>
          <w:szCs w:val="24"/>
        </w:rPr>
      </w:pPr>
      <w:r w:rsidRPr="00AB4115">
        <w:rPr>
          <w:rFonts w:ascii="Times New Roman" w:hAnsi="Times New Roman"/>
          <w:b/>
          <w:sz w:val="24"/>
          <w:szCs w:val="24"/>
        </w:rPr>
        <w:t xml:space="preserve">II – </w:t>
      </w:r>
      <w:r w:rsidR="006539C5" w:rsidRPr="00AB4115">
        <w:rPr>
          <w:rFonts w:ascii="Times New Roman" w:hAnsi="Times New Roman"/>
          <w:b/>
          <w:sz w:val="24"/>
          <w:szCs w:val="24"/>
        </w:rPr>
        <w:t>ANÁLISE TÉCNICA</w:t>
      </w:r>
    </w:p>
    <w:p w14:paraId="78268FEB" w14:textId="77777777" w:rsidR="00536F78" w:rsidRDefault="00507EEE" w:rsidP="00536F78">
      <w:p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Tendo em vista a Resolução Conama nº 10/1996, que estabeleceu que o licenciamento ambiental nas áreas de desovas de tartarugas marinhas só pode efetivar-se após avaliação do Centro TAMAR, este Centro vem desenvolvendo ao longo dos anos diversas atividades no âmbito do licenciamento ambiental:</w:t>
      </w:r>
    </w:p>
    <w:p w14:paraId="3C6603AA" w14:textId="77777777" w:rsidR="00507EEE" w:rsidRPr="00507EEE" w:rsidRDefault="00507EEE" w:rsidP="00536F78">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 xml:space="preserve">Reuniões com órgãos licenciadores (federal, estadual e municipal), empreendedores nas fases </w:t>
      </w:r>
      <w:proofErr w:type="spellStart"/>
      <w:r w:rsidRPr="00507EEE">
        <w:rPr>
          <w:rFonts w:ascii="Times New Roman" w:hAnsi="Times New Roman"/>
          <w:sz w:val="24"/>
          <w:szCs w:val="24"/>
          <w:lang w:eastAsia="pt-BR"/>
        </w:rPr>
        <w:t>pré</w:t>
      </w:r>
      <w:proofErr w:type="spellEnd"/>
      <w:r w:rsidRPr="00507EEE">
        <w:rPr>
          <w:rFonts w:ascii="Times New Roman" w:hAnsi="Times New Roman"/>
          <w:sz w:val="24"/>
          <w:szCs w:val="24"/>
          <w:lang w:eastAsia="pt-BR"/>
        </w:rPr>
        <w:t xml:space="preserve"> e pós licenciamento (acompanhamento de condicionantes) e Ministério Público, presencialmente, e remotamente durante a pandemia do Coronavírus, respeitando os protocolos sanitários;</w:t>
      </w:r>
    </w:p>
    <w:p w14:paraId="4FF93006" w14:textId="77777777" w:rsidR="00507EEE" w:rsidRPr="00507EEE" w:rsidRDefault="00507EEE" w:rsidP="00507EEE">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Participação em audiências públicas, inclusive online, durante a pandemia do Coronavírus;</w:t>
      </w:r>
    </w:p>
    <w:p w14:paraId="7415D7A3" w14:textId="77777777" w:rsidR="00507EEE" w:rsidRPr="00507EEE" w:rsidRDefault="00507EEE" w:rsidP="00507EEE">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 xml:space="preserve">Vistorias aos empreendimentos – Fase </w:t>
      </w:r>
      <w:proofErr w:type="spellStart"/>
      <w:r w:rsidRPr="00507EEE">
        <w:rPr>
          <w:rFonts w:ascii="Times New Roman" w:hAnsi="Times New Roman"/>
          <w:sz w:val="24"/>
          <w:szCs w:val="24"/>
          <w:lang w:eastAsia="pt-BR"/>
        </w:rPr>
        <w:t>pré</w:t>
      </w:r>
      <w:proofErr w:type="spellEnd"/>
      <w:r w:rsidRPr="00507EEE">
        <w:rPr>
          <w:rFonts w:ascii="Times New Roman" w:hAnsi="Times New Roman"/>
          <w:sz w:val="24"/>
          <w:szCs w:val="24"/>
          <w:lang w:eastAsia="pt-BR"/>
        </w:rPr>
        <w:t>-licença: verificação do local proposto para a instalação do empreendimento e relação com a área de desova;</w:t>
      </w:r>
    </w:p>
    <w:p w14:paraId="47B2A529" w14:textId="77777777" w:rsidR="00507EEE" w:rsidRPr="00507EEE" w:rsidRDefault="00507EEE" w:rsidP="00507EEE">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Vistorias aos empreendimentos – Fase pós-licença: verificação do sistema de iluminação (fotopoluição) e demais medidas de mitigação de impactos; acompanhamento de atividades de dragagem, análises de relatórios e reuniões com empreendedores para avaliação adaptativa das medidas de mitigação de impactos;</w:t>
      </w:r>
    </w:p>
    <w:p w14:paraId="74C2A583" w14:textId="77777777" w:rsidR="00507EEE" w:rsidRPr="00507EEE" w:rsidRDefault="00507EEE" w:rsidP="00507EEE">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Vistorias em áreas de praias previamente e/ou durante a realização de eventos/shows;</w:t>
      </w:r>
    </w:p>
    <w:p w14:paraId="0C051E27" w14:textId="77777777" w:rsidR="00507EEE" w:rsidRPr="00536F78" w:rsidRDefault="00507EEE" w:rsidP="00536F78">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Atendimento às demandas do Ministério Público: Verificação de questões específicas relativas aos empreendimentos e possíveis impactos sobre as tartarugas marinhas;</w:t>
      </w:r>
    </w:p>
    <w:p w14:paraId="6683C2E9" w14:textId="77777777" w:rsidR="00507EEE" w:rsidRPr="00507EEE" w:rsidRDefault="00507EEE" w:rsidP="00507EEE">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lastRenderedPageBreak/>
        <w:t>Elaboração de Termos de Referência e orientações técnicas à execução de programas de monitoramento de tartarugas marinhas com telemetria por satélite;</w:t>
      </w:r>
    </w:p>
    <w:p w14:paraId="02EB378F" w14:textId="77777777" w:rsidR="00507EEE" w:rsidRPr="00507EEE" w:rsidRDefault="00507EEE" w:rsidP="00507EEE">
      <w:pPr>
        <w:spacing w:after="60" w:line="240" w:lineRule="auto"/>
        <w:ind w:left="284" w:right="395"/>
        <w:jc w:val="both"/>
        <w:rPr>
          <w:rFonts w:ascii="Times New Roman" w:hAnsi="Times New Roman"/>
          <w:sz w:val="24"/>
          <w:szCs w:val="24"/>
          <w:lang w:eastAsia="pt-BR"/>
        </w:rPr>
      </w:pPr>
    </w:p>
    <w:p w14:paraId="4025CC9B" w14:textId="77777777" w:rsidR="00507EEE" w:rsidRPr="00507EEE" w:rsidRDefault="00507EEE" w:rsidP="00507EEE">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Acompanhamento de projetos de monitoramento de praias (</w:t>
      </w:r>
      <w:proofErr w:type="spellStart"/>
      <w:r w:rsidRPr="00507EEE">
        <w:rPr>
          <w:rFonts w:ascii="Times New Roman" w:hAnsi="Times New Roman"/>
          <w:sz w:val="24"/>
          <w:szCs w:val="24"/>
          <w:lang w:eastAsia="pt-BR"/>
        </w:rPr>
        <w:t>PMPs</w:t>
      </w:r>
      <w:proofErr w:type="spellEnd"/>
      <w:r w:rsidRPr="00507EEE">
        <w:rPr>
          <w:rFonts w:ascii="Times New Roman" w:hAnsi="Times New Roman"/>
          <w:sz w:val="24"/>
          <w:szCs w:val="24"/>
          <w:lang w:eastAsia="pt-BR"/>
        </w:rPr>
        <w:t>) condicionados aos empreendedores. Ex.: PMP/BC-ES; PMP/SE-AL; PMP/BS; PMTM-Porto do Açu, etc. Os acompanhamentos demandam reuniões, workshops, vistorias em campo, recebimento dos dados e análise de relatórios.</w:t>
      </w:r>
    </w:p>
    <w:p w14:paraId="76CB6834" w14:textId="77777777" w:rsidR="00507EEE" w:rsidRPr="00536F78" w:rsidRDefault="00507EEE" w:rsidP="00536F78">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Análise de projetos elaborados por empreendedores em cumprimento às condicionantes, a exemplo de projetos luminotécnicos.</w:t>
      </w:r>
    </w:p>
    <w:p w14:paraId="5A32EF19" w14:textId="77777777" w:rsidR="00507EEE" w:rsidRPr="00536F78" w:rsidRDefault="00507EEE" w:rsidP="00536F78">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 xml:space="preserve">Análise de relatórios elaborados por empreendedores em atendimentos às condicionantes, como Relatórios Técnicos de Monitoramento Integrado da Qualidade do Sedimento; de Monitoramento de Biota Marinha (Sísmica); de Monitoramento de Praias; de Monitoramento de Telemetria </w:t>
      </w:r>
      <w:proofErr w:type="spellStart"/>
      <w:r w:rsidRPr="00507EEE">
        <w:rPr>
          <w:rFonts w:ascii="Times New Roman" w:hAnsi="Times New Roman"/>
          <w:sz w:val="24"/>
          <w:szCs w:val="24"/>
          <w:lang w:eastAsia="pt-BR"/>
        </w:rPr>
        <w:t>Satelital</w:t>
      </w:r>
      <w:proofErr w:type="spellEnd"/>
      <w:r w:rsidRPr="00507EEE">
        <w:rPr>
          <w:rFonts w:ascii="Times New Roman" w:hAnsi="Times New Roman"/>
          <w:sz w:val="24"/>
          <w:szCs w:val="24"/>
          <w:lang w:eastAsia="pt-BR"/>
        </w:rPr>
        <w:t>, etc. Relatórios podem ser mensais, trimestrais, quadrimestrais, semestrais e anuais.</w:t>
      </w:r>
    </w:p>
    <w:p w14:paraId="2BCDE1FF" w14:textId="77777777" w:rsidR="00507EEE" w:rsidRPr="00507EEE" w:rsidRDefault="00507EEE" w:rsidP="00536F78">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Análise de EIA/RIMA e demais estudos ambientais de empreendimentos em área de desova de tartarugas marinhas.</w:t>
      </w:r>
    </w:p>
    <w:p w14:paraId="40A5988E" w14:textId="77777777" w:rsidR="00507EEE" w:rsidRPr="00507EEE" w:rsidRDefault="00507EEE" w:rsidP="00536F78">
      <w:pPr>
        <w:numPr>
          <w:ilvl w:val="0"/>
          <w:numId w:val="21"/>
        </w:numPr>
        <w:spacing w:after="60" w:line="240" w:lineRule="auto"/>
        <w:ind w:right="395"/>
        <w:jc w:val="both"/>
        <w:rPr>
          <w:rFonts w:ascii="Times New Roman" w:hAnsi="Times New Roman"/>
          <w:sz w:val="24"/>
          <w:szCs w:val="24"/>
          <w:lang w:eastAsia="pt-BR"/>
        </w:rPr>
      </w:pPr>
      <w:r w:rsidRPr="00507EEE">
        <w:rPr>
          <w:rFonts w:ascii="Times New Roman" w:hAnsi="Times New Roman"/>
          <w:sz w:val="24"/>
          <w:szCs w:val="24"/>
          <w:lang w:eastAsia="pt-BR"/>
        </w:rPr>
        <w:t>Atendimento às solicitações de dados de desovas em diferentes áreas ao longo da costa brasileira, em especial para empresas de consultoria e empreendedores.</w:t>
      </w:r>
    </w:p>
    <w:p w14:paraId="6A05A809" w14:textId="77777777" w:rsidR="00507EEE" w:rsidRPr="00507EEE" w:rsidRDefault="00507EEE" w:rsidP="00507EEE">
      <w:pPr>
        <w:spacing w:after="60" w:line="240" w:lineRule="auto"/>
        <w:ind w:left="284" w:right="395"/>
        <w:jc w:val="both"/>
        <w:rPr>
          <w:rFonts w:ascii="Times New Roman" w:hAnsi="Times New Roman"/>
          <w:sz w:val="24"/>
          <w:szCs w:val="24"/>
          <w:lang w:eastAsia="pt-BR"/>
        </w:rPr>
      </w:pPr>
    </w:p>
    <w:p w14:paraId="2A75A2E6" w14:textId="77777777" w:rsidR="00507EEE" w:rsidRDefault="00507EEE" w:rsidP="00507EEE">
      <w:pPr>
        <w:spacing w:after="60" w:line="240" w:lineRule="auto"/>
        <w:ind w:left="284" w:right="395"/>
        <w:jc w:val="both"/>
        <w:rPr>
          <w:rFonts w:ascii="Times New Roman" w:hAnsi="Times New Roman"/>
          <w:sz w:val="24"/>
          <w:szCs w:val="24"/>
          <w:lang w:eastAsia="pt-BR"/>
        </w:rPr>
      </w:pPr>
      <w:r w:rsidRPr="00507EEE">
        <w:rPr>
          <w:rFonts w:ascii="Times New Roman" w:hAnsi="Times New Roman"/>
          <w:sz w:val="24"/>
          <w:szCs w:val="24"/>
          <w:lang w:eastAsia="pt-BR"/>
        </w:rPr>
        <w:t xml:space="preserve">A Tabela 1 apresenta o número de projetos, relatórios e estudos ambientais recebidos pelo Centro </w:t>
      </w:r>
      <w:r w:rsidR="00536F78">
        <w:rPr>
          <w:rFonts w:ascii="Times New Roman" w:hAnsi="Times New Roman"/>
          <w:sz w:val="24"/>
          <w:szCs w:val="24"/>
          <w:lang w:eastAsia="pt-BR"/>
        </w:rPr>
        <w:t>TAMAR</w:t>
      </w:r>
      <w:r w:rsidRPr="00507EEE">
        <w:rPr>
          <w:rFonts w:ascii="Times New Roman" w:hAnsi="Times New Roman"/>
          <w:sz w:val="24"/>
          <w:szCs w:val="24"/>
          <w:lang w:eastAsia="pt-BR"/>
        </w:rPr>
        <w:t xml:space="preserve"> de 2015 a 2021. A maior parte dos documentos foi analisada, dando origem a diversas manifestações do Centro.</w:t>
      </w:r>
    </w:p>
    <w:p w14:paraId="5A39BBE3" w14:textId="77777777" w:rsidR="00507EEE" w:rsidRDefault="00507EEE" w:rsidP="00507EEE">
      <w:pPr>
        <w:spacing w:after="60" w:line="240" w:lineRule="auto"/>
        <w:ind w:left="284" w:right="395"/>
        <w:jc w:val="both"/>
        <w:rPr>
          <w:rFonts w:ascii="Times New Roman" w:hAnsi="Times New Roman"/>
          <w:sz w:val="24"/>
          <w:szCs w:val="24"/>
          <w:lang w:eastAsia="pt-BR"/>
        </w:rPr>
      </w:pPr>
    </w:p>
    <w:p w14:paraId="534D5C44" w14:textId="77777777" w:rsidR="00A2360F" w:rsidRPr="00E55C7C" w:rsidRDefault="007E3479" w:rsidP="00507EEE">
      <w:pPr>
        <w:spacing w:after="60" w:line="240" w:lineRule="auto"/>
        <w:ind w:left="284" w:right="395"/>
        <w:jc w:val="both"/>
        <w:rPr>
          <w:rFonts w:ascii="Times New Roman" w:hAnsi="Times New Roman"/>
          <w:lang w:eastAsia="pt-BR"/>
        </w:rPr>
      </w:pPr>
      <w:r w:rsidRPr="00E55C7C">
        <w:rPr>
          <w:rFonts w:ascii="Times New Roman" w:hAnsi="Times New Roman"/>
          <w:lang w:eastAsia="pt-BR"/>
        </w:rPr>
        <w:t xml:space="preserve">Tabela </w:t>
      </w:r>
      <w:r w:rsidR="007D0C56" w:rsidRPr="00E55C7C">
        <w:rPr>
          <w:rFonts w:ascii="Times New Roman" w:hAnsi="Times New Roman"/>
          <w:lang w:eastAsia="pt-BR"/>
        </w:rPr>
        <w:t>1</w:t>
      </w:r>
      <w:r w:rsidR="00A2360F" w:rsidRPr="00E55C7C">
        <w:rPr>
          <w:rFonts w:ascii="Times New Roman" w:hAnsi="Times New Roman"/>
          <w:lang w:eastAsia="pt-BR"/>
        </w:rPr>
        <w:t xml:space="preserve"> – Documentos recebidos pelo Centro </w:t>
      </w:r>
      <w:r w:rsidR="00F53298">
        <w:rPr>
          <w:rFonts w:ascii="Times New Roman" w:hAnsi="Times New Roman"/>
          <w:lang w:eastAsia="pt-BR"/>
        </w:rPr>
        <w:t>TAMAR</w:t>
      </w:r>
      <w:r w:rsidR="00A2360F" w:rsidRPr="00E55C7C">
        <w:rPr>
          <w:rFonts w:ascii="Times New Roman" w:hAnsi="Times New Roman"/>
          <w:lang w:eastAsia="pt-BR"/>
        </w:rPr>
        <w:t xml:space="preserve"> para análises relacionadas a</w:t>
      </w:r>
      <w:r w:rsidR="00E36C4A" w:rsidRPr="00E55C7C">
        <w:rPr>
          <w:rFonts w:ascii="Times New Roman" w:hAnsi="Times New Roman"/>
          <w:lang w:eastAsia="pt-BR"/>
        </w:rPr>
        <w:t>o</w:t>
      </w:r>
      <w:r w:rsidR="00A2360F" w:rsidRPr="00E55C7C">
        <w:rPr>
          <w:rFonts w:ascii="Times New Roman" w:hAnsi="Times New Roman"/>
          <w:lang w:eastAsia="pt-BR"/>
        </w:rPr>
        <w:t xml:space="preserve"> licenciamento ambiental de 201</w:t>
      </w:r>
      <w:r w:rsidR="00E55C7C">
        <w:rPr>
          <w:rFonts w:ascii="Times New Roman" w:hAnsi="Times New Roman"/>
          <w:lang w:eastAsia="pt-BR"/>
        </w:rPr>
        <w:t>5</w:t>
      </w:r>
      <w:r w:rsidR="00A2360F" w:rsidRPr="00E55C7C">
        <w:rPr>
          <w:rFonts w:ascii="Times New Roman" w:hAnsi="Times New Roman"/>
          <w:lang w:eastAsia="pt-BR"/>
        </w:rPr>
        <w:t xml:space="preserve"> a </w:t>
      </w:r>
      <w:r w:rsidR="00416546" w:rsidRPr="00E55C7C">
        <w:rPr>
          <w:rFonts w:ascii="Times New Roman" w:hAnsi="Times New Roman"/>
          <w:lang w:eastAsia="pt-BR"/>
        </w:rPr>
        <w:t>202</w:t>
      </w:r>
      <w:r w:rsidR="005B7B2F">
        <w:rPr>
          <w:rFonts w:ascii="Times New Roman" w:hAnsi="Times New Roman"/>
          <w:lang w:eastAsia="pt-BR"/>
        </w:rPr>
        <w:t>1</w:t>
      </w:r>
      <w:r w:rsidR="00A2360F" w:rsidRPr="00E55C7C">
        <w:rPr>
          <w:rFonts w:ascii="Times New Roman" w:hAnsi="Times New Roman"/>
          <w:lang w:eastAsia="pt-BR"/>
        </w:rPr>
        <w:t>.</w:t>
      </w:r>
    </w:p>
    <w:tbl>
      <w:tblPr>
        <w:tblW w:w="80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20" w:firstRow="1" w:lastRow="0" w:firstColumn="0" w:lastColumn="0" w:noHBand="0" w:noVBand="1"/>
      </w:tblPr>
      <w:tblGrid>
        <w:gridCol w:w="846"/>
        <w:gridCol w:w="2398"/>
        <w:gridCol w:w="2398"/>
        <w:gridCol w:w="2398"/>
      </w:tblGrid>
      <w:tr w:rsidR="00B72CAD" w:rsidRPr="00AB4115" w14:paraId="73472B5B" w14:textId="77777777" w:rsidTr="007D0C56">
        <w:trPr>
          <w:trHeight w:val="359"/>
          <w:jc w:val="center"/>
        </w:trPr>
        <w:tc>
          <w:tcPr>
            <w:tcW w:w="846" w:type="dxa"/>
            <w:shd w:val="clear" w:color="auto" w:fill="auto"/>
            <w:tcMar>
              <w:top w:w="72" w:type="dxa"/>
              <w:left w:w="144" w:type="dxa"/>
              <w:bottom w:w="72" w:type="dxa"/>
              <w:right w:w="144" w:type="dxa"/>
            </w:tcMar>
            <w:vAlign w:val="center"/>
            <w:hideMark/>
          </w:tcPr>
          <w:p w14:paraId="41C8F396" w14:textId="77777777" w:rsidR="00B72CAD" w:rsidRPr="00AB4115" w:rsidRDefault="00B72CAD" w:rsidP="00AB4115">
            <w:pPr>
              <w:spacing w:after="0" w:line="240" w:lineRule="auto"/>
              <w:jc w:val="both"/>
              <w:rPr>
                <w:rFonts w:ascii="Times New Roman" w:hAnsi="Times New Roman"/>
                <w:sz w:val="24"/>
                <w:szCs w:val="24"/>
                <w:lang w:eastAsia="pt-BR"/>
              </w:rPr>
            </w:pPr>
          </w:p>
        </w:tc>
        <w:tc>
          <w:tcPr>
            <w:tcW w:w="2398" w:type="dxa"/>
            <w:shd w:val="clear" w:color="auto" w:fill="auto"/>
            <w:tcMar>
              <w:top w:w="72" w:type="dxa"/>
              <w:left w:w="144" w:type="dxa"/>
              <w:bottom w:w="72" w:type="dxa"/>
              <w:right w:w="144" w:type="dxa"/>
            </w:tcMar>
            <w:vAlign w:val="center"/>
            <w:hideMark/>
          </w:tcPr>
          <w:p w14:paraId="6D69FF98" w14:textId="77777777" w:rsidR="00B72CAD" w:rsidRPr="00AB4115" w:rsidRDefault="00B72CAD" w:rsidP="007D0C56">
            <w:pPr>
              <w:spacing w:after="0" w:line="240" w:lineRule="auto"/>
              <w:jc w:val="center"/>
              <w:rPr>
                <w:rFonts w:ascii="Times New Roman" w:hAnsi="Times New Roman"/>
                <w:sz w:val="24"/>
                <w:szCs w:val="24"/>
                <w:lang w:eastAsia="pt-BR"/>
              </w:rPr>
            </w:pPr>
            <w:r w:rsidRPr="00AB4115">
              <w:rPr>
                <w:rFonts w:ascii="Times New Roman" w:hAnsi="Times New Roman"/>
                <w:b/>
                <w:bCs/>
                <w:sz w:val="24"/>
                <w:szCs w:val="24"/>
                <w:lang w:eastAsia="pt-BR"/>
              </w:rPr>
              <w:t>Projetos</w:t>
            </w:r>
            <w:r w:rsidR="00CE3B9D" w:rsidRPr="00AB4115">
              <w:rPr>
                <w:rFonts w:ascii="Times New Roman" w:hAnsi="Times New Roman"/>
                <w:b/>
                <w:bCs/>
                <w:sz w:val="24"/>
                <w:szCs w:val="24"/>
                <w:lang w:eastAsia="pt-BR"/>
              </w:rPr>
              <w:t xml:space="preserve"> Pós LP</w:t>
            </w:r>
            <w:r w:rsidR="00F53298">
              <w:rPr>
                <w:rFonts w:ascii="Times New Roman" w:hAnsi="Times New Roman"/>
                <w:b/>
                <w:bCs/>
                <w:sz w:val="24"/>
                <w:szCs w:val="24"/>
                <w:lang w:eastAsia="pt-BR"/>
              </w:rPr>
              <w:t>*</w:t>
            </w:r>
          </w:p>
        </w:tc>
        <w:tc>
          <w:tcPr>
            <w:tcW w:w="2398" w:type="dxa"/>
            <w:shd w:val="clear" w:color="auto" w:fill="auto"/>
            <w:tcMar>
              <w:top w:w="72" w:type="dxa"/>
              <w:left w:w="144" w:type="dxa"/>
              <w:bottom w:w="72" w:type="dxa"/>
              <w:right w:w="144" w:type="dxa"/>
            </w:tcMar>
            <w:vAlign w:val="center"/>
            <w:hideMark/>
          </w:tcPr>
          <w:p w14:paraId="1F9FEF35" w14:textId="77777777" w:rsidR="00B72CAD" w:rsidRPr="00AB4115" w:rsidRDefault="00B72CAD" w:rsidP="007D0C56">
            <w:pPr>
              <w:spacing w:after="0" w:line="240" w:lineRule="auto"/>
              <w:jc w:val="center"/>
              <w:rPr>
                <w:rFonts w:ascii="Times New Roman" w:hAnsi="Times New Roman"/>
                <w:sz w:val="24"/>
                <w:szCs w:val="24"/>
                <w:lang w:eastAsia="pt-BR"/>
              </w:rPr>
            </w:pPr>
            <w:r w:rsidRPr="00AB4115">
              <w:rPr>
                <w:rFonts w:ascii="Times New Roman" w:hAnsi="Times New Roman"/>
                <w:b/>
                <w:bCs/>
                <w:sz w:val="24"/>
                <w:szCs w:val="24"/>
                <w:lang w:eastAsia="pt-BR"/>
              </w:rPr>
              <w:t>Relatórios</w:t>
            </w:r>
          </w:p>
        </w:tc>
        <w:tc>
          <w:tcPr>
            <w:tcW w:w="2398" w:type="dxa"/>
            <w:shd w:val="clear" w:color="auto" w:fill="auto"/>
            <w:tcMar>
              <w:top w:w="72" w:type="dxa"/>
              <w:left w:w="144" w:type="dxa"/>
              <w:bottom w:w="72" w:type="dxa"/>
              <w:right w:w="144" w:type="dxa"/>
            </w:tcMar>
            <w:vAlign w:val="center"/>
            <w:hideMark/>
          </w:tcPr>
          <w:p w14:paraId="354827F5" w14:textId="77777777" w:rsidR="00B72CAD" w:rsidRPr="00AB4115" w:rsidRDefault="004C42F6" w:rsidP="007D0C56">
            <w:pPr>
              <w:spacing w:after="0" w:line="240" w:lineRule="auto"/>
              <w:jc w:val="center"/>
              <w:rPr>
                <w:rFonts w:ascii="Times New Roman" w:hAnsi="Times New Roman"/>
                <w:sz w:val="24"/>
                <w:szCs w:val="24"/>
                <w:lang w:eastAsia="pt-BR"/>
              </w:rPr>
            </w:pPr>
            <w:r w:rsidRPr="00AB4115">
              <w:rPr>
                <w:rFonts w:ascii="Times New Roman" w:hAnsi="Times New Roman"/>
                <w:b/>
                <w:bCs/>
                <w:sz w:val="24"/>
                <w:szCs w:val="24"/>
                <w:lang w:eastAsia="pt-BR"/>
              </w:rPr>
              <w:t>Estudos Ambientais</w:t>
            </w:r>
          </w:p>
        </w:tc>
      </w:tr>
      <w:tr w:rsidR="00B72CAD" w:rsidRPr="00AB4115" w14:paraId="22BE20F3" w14:textId="77777777" w:rsidTr="007D0C56">
        <w:trPr>
          <w:trHeight w:val="359"/>
          <w:jc w:val="center"/>
        </w:trPr>
        <w:tc>
          <w:tcPr>
            <w:tcW w:w="846" w:type="dxa"/>
            <w:shd w:val="clear" w:color="auto" w:fill="auto"/>
            <w:tcMar>
              <w:top w:w="72" w:type="dxa"/>
              <w:left w:w="144" w:type="dxa"/>
              <w:bottom w:w="72" w:type="dxa"/>
              <w:right w:w="144" w:type="dxa"/>
            </w:tcMar>
            <w:vAlign w:val="center"/>
            <w:hideMark/>
          </w:tcPr>
          <w:p w14:paraId="022AE731" w14:textId="77777777" w:rsidR="00B72CAD" w:rsidRPr="00AB4115" w:rsidRDefault="00B72CAD" w:rsidP="00AB4115">
            <w:pPr>
              <w:spacing w:after="0" w:line="240" w:lineRule="auto"/>
              <w:jc w:val="both"/>
              <w:rPr>
                <w:rFonts w:ascii="Times New Roman" w:hAnsi="Times New Roman"/>
                <w:sz w:val="24"/>
                <w:szCs w:val="24"/>
                <w:lang w:eastAsia="pt-BR"/>
              </w:rPr>
            </w:pPr>
            <w:r w:rsidRPr="00AB4115">
              <w:rPr>
                <w:rFonts w:ascii="Times New Roman" w:hAnsi="Times New Roman"/>
                <w:sz w:val="24"/>
                <w:szCs w:val="24"/>
                <w:lang w:eastAsia="pt-BR"/>
              </w:rPr>
              <w:t>2015</w:t>
            </w:r>
          </w:p>
        </w:tc>
        <w:tc>
          <w:tcPr>
            <w:tcW w:w="2398" w:type="dxa"/>
            <w:shd w:val="clear" w:color="auto" w:fill="auto"/>
            <w:tcMar>
              <w:top w:w="72" w:type="dxa"/>
              <w:left w:w="144" w:type="dxa"/>
              <w:bottom w:w="72" w:type="dxa"/>
              <w:right w:w="144" w:type="dxa"/>
            </w:tcMar>
            <w:vAlign w:val="center"/>
            <w:hideMark/>
          </w:tcPr>
          <w:p w14:paraId="5DA17688" w14:textId="77777777" w:rsidR="00B72CAD" w:rsidRPr="00AB4115" w:rsidRDefault="00B72CAD" w:rsidP="007D0C56">
            <w:pPr>
              <w:spacing w:after="0" w:line="240" w:lineRule="auto"/>
              <w:jc w:val="center"/>
              <w:rPr>
                <w:rFonts w:ascii="Times New Roman" w:hAnsi="Times New Roman"/>
                <w:sz w:val="24"/>
                <w:szCs w:val="24"/>
                <w:lang w:eastAsia="pt-BR"/>
              </w:rPr>
            </w:pPr>
            <w:r w:rsidRPr="00AB4115">
              <w:rPr>
                <w:rFonts w:ascii="Times New Roman" w:hAnsi="Times New Roman"/>
                <w:sz w:val="24"/>
                <w:szCs w:val="24"/>
                <w:lang w:eastAsia="pt-BR"/>
              </w:rPr>
              <w:t>08</w:t>
            </w:r>
          </w:p>
        </w:tc>
        <w:tc>
          <w:tcPr>
            <w:tcW w:w="2398" w:type="dxa"/>
            <w:shd w:val="clear" w:color="auto" w:fill="auto"/>
            <w:tcMar>
              <w:top w:w="72" w:type="dxa"/>
              <w:left w:w="144" w:type="dxa"/>
              <w:bottom w:w="72" w:type="dxa"/>
              <w:right w:w="144" w:type="dxa"/>
            </w:tcMar>
            <w:vAlign w:val="center"/>
            <w:hideMark/>
          </w:tcPr>
          <w:p w14:paraId="61A51A77" w14:textId="77777777" w:rsidR="00B72CAD" w:rsidRPr="00AB4115" w:rsidRDefault="00B72CAD" w:rsidP="007D0C56">
            <w:pPr>
              <w:spacing w:after="0" w:line="240" w:lineRule="auto"/>
              <w:jc w:val="center"/>
              <w:rPr>
                <w:rFonts w:ascii="Times New Roman" w:hAnsi="Times New Roman"/>
                <w:sz w:val="24"/>
                <w:szCs w:val="24"/>
                <w:lang w:eastAsia="pt-BR"/>
              </w:rPr>
            </w:pPr>
            <w:r w:rsidRPr="00AB4115">
              <w:rPr>
                <w:rFonts w:ascii="Times New Roman" w:hAnsi="Times New Roman"/>
                <w:sz w:val="24"/>
                <w:szCs w:val="24"/>
                <w:lang w:eastAsia="pt-BR"/>
              </w:rPr>
              <w:t>39</w:t>
            </w:r>
          </w:p>
        </w:tc>
        <w:tc>
          <w:tcPr>
            <w:tcW w:w="2398" w:type="dxa"/>
            <w:shd w:val="clear" w:color="auto" w:fill="auto"/>
            <w:tcMar>
              <w:top w:w="72" w:type="dxa"/>
              <w:left w:w="144" w:type="dxa"/>
              <w:bottom w:w="72" w:type="dxa"/>
              <w:right w:w="144" w:type="dxa"/>
            </w:tcMar>
            <w:vAlign w:val="center"/>
            <w:hideMark/>
          </w:tcPr>
          <w:p w14:paraId="5464B667" w14:textId="77777777" w:rsidR="00B72CAD" w:rsidRPr="00AB4115" w:rsidRDefault="00B72CAD" w:rsidP="007D0C56">
            <w:pPr>
              <w:spacing w:after="0" w:line="240" w:lineRule="auto"/>
              <w:jc w:val="center"/>
              <w:rPr>
                <w:rFonts w:ascii="Times New Roman" w:hAnsi="Times New Roman"/>
                <w:sz w:val="24"/>
                <w:szCs w:val="24"/>
                <w:lang w:eastAsia="pt-BR"/>
              </w:rPr>
            </w:pPr>
            <w:r w:rsidRPr="00AB4115">
              <w:rPr>
                <w:rFonts w:ascii="Times New Roman" w:hAnsi="Times New Roman"/>
                <w:sz w:val="24"/>
                <w:szCs w:val="24"/>
                <w:lang w:eastAsia="pt-BR"/>
              </w:rPr>
              <w:t>04</w:t>
            </w:r>
          </w:p>
        </w:tc>
      </w:tr>
      <w:tr w:rsidR="00B72CAD" w:rsidRPr="00AB4115" w14:paraId="51A72000" w14:textId="77777777" w:rsidTr="007D0C56">
        <w:trPr>
          <w:trHeight w:val="359"/>
          <w:jc w:val="center"/>
        </w:trPr>
        <w:tc>
          <w:tcPr>
            <w:tcW w:w="846" w:type="dxa"/>
            <w:shd w:val="clear" w:color="auto" w:fill="auto"/>
            <w:tcMar>
              <w:top w:w="72" w:type="dxa"/>
              <w:left w:w="144" w:type="dxa"/>
              <w:bottom w:w="72" w:type="dxa"/>
              <w:right w:w="144" w:type="dxa"/>
            </w:tcMar>
            <w:vAlign w:val="center"/>
            <w:hideMark/>
          </w:tcPr>
          <w:p w14:paraId="7D1E0FE1" w14:textId="77777777" w:rsidR="00B72CAD" w:rsidRPr="00AB4115" w:rsidRDefault="00B72CAD" w:rsidP="00AB4115">
            <w:pPr>
              <w:spacing w:after="0" w:line="240" w:lineRule="auto"/>
              <w:jc w:val="both"/>
              <w:rPr>
                <w:rFonts w:ascii="Times New Roman" w:hAnsi="Times New Roman"/>
                <w:sz w:val="24"/>
                <w:szCs w:val="24"/>
                <w:lang w:eastAsia="pt-BR"/>
              </w:rPr>
            </w:pPr>
            <w:r w:rsidRPr="00AB4115">
              <w:rPr>
                <w:rFonts w:ascii="Times New Roman" w:hAnsi="Times New Roman"/>
                <w:sz w:val="24"/>
                <w:szCs w:val="24"/>
                <w:lang w:eastAsia="pt-BR"/>
              </w:rPr>
              <w:t>2016</w:t>
            </w:r>
          </w:p>
        </w:tc>
        <w:tc>
          <w:tcPr>
            <w:tcW w:w="2398" w:type="dxa"/>
            <w:shd w:val="clear" w:color="auto" w:fill="auto"/>
            <w:tcMar>
              <w:top w:w="72" w:type="dxa"/>
              <w:left w:w="144" w:type="dxa"/>
              <w:bottom w:w="72" w:type="dxa"/>
              <w:right w:w="144" w:type="dxa"/>
            </w:tcMar>
            <w:vAlign w:val="center"/>
            <w:hideMark/>
          </w:tcPr>
          <w:p w14:paraId="71931EE1" w14:textId="77777777" w:rsidR="00B72CAD" w:rsidRPr="00AB4115" w:rsidRDefault="00B72CAD" w:rsidP="007D0C56">
            <w:pPr>
              <w:spacing w:after="0" w:line="240" w:lineRule="auto"/>
              <w:jc w:val="center"/>
              <w:rPr>
                <w:rFonts w:ascii="Times New Roman" w:hAnsi="Times New Roman"/>
                <w:sz w:val="24"/>
                <w:szCs w:val="24"/>
                <w:lang w:eastAsia="pt-BR"/>
              </w:rPr>
            </w:pPr>
            <w:r w:rsidRPr="00AB4115">
              <w:rPr>
                <w:rFonts w:ascii="Times New Roman" w:hAnsi="Times New Roman"/>
                <w:sz w:val="24"/>
                <w:szCs w:val="24"/>
                <w:lang w:eastAsia="pt-BR"/>
              </w:rPr>
              <w:t>06</w:t>
            </w:r>
          </w:p>
        </w:tc>
        <w:tc>
          <w:tcPr>
            <w:tcW w:w="2398" w:type="dxa"/>
            <w:shd w:val="clear" w:color="auto" w:fill="auto"/>
            <w:tcMar>
              <w:top w:w="72" w:type="dxa"/>
              <w:left w:w="144" w:type="dxa"/>
              <w:bottom w:w="72" w:type="dxa"/>
              <w:right w:w="144" w:type="dxa"/>
            </w:tcMar>
            <w:vAlign w:val="center"/>
            <w:hideMark/>
          </w:tcPr>
          <w:p w14:paraId="5007C906" w14:textId="77777777" w:rsidR="00B72CAD" w:rsidRPr="00AB4115" w:rsidRDefault="00B72CAD" w:rsidP="007D0C56">
            <w:pPr>
              <w:spacing w:after="0" w:line="240" w:lineRule="auto"/>
              <w:jc w:val="center"/>
              <w:rPr>
                <w:rFonts w:ascii="Times New Roman" w:hAnsi="Times New Roman"/>
                <w:sz w:val="24"/>
                <w:szCs w:val="24"/>
                <w:lang w:eastAsia="pt-BR"/>
              </w:rPr>
            </w:pPr>
            <w:r w:rsidRPr="00AB4115">
              <w:rPr>
                <w:rFonts w:ascii="Times New Roman" w:hAnsi="Times New Roman"/>
                <w:sz w:val="24"/>
                <w:szCs w:val="24"/>
                <w:lang w:eastAsia="pt-BR"/>
              </w:rPr>
              <w:t>20</w:t>
            </w:r>
          </w:p>
        </w:tc>
        <w:tc>
          <w:tcPr>
            <w:tcW w:w="2398" w:type="dxa"/>
            <w:shd w:val="clear" w:color="auto" w:fill="auto"/>
            <w:tcMar>
              <w:top w:w="72" w:type="dxa"/>
              <w:left w:w="144" w:type="dxa"/>
              <w:bottom w:w="72" w:type="dxa"/>
              <w:right w:w="144" w:type="dxa"/>
            </w:tcMar>
            <w:vAlign w:val="center"/>
            <w:hideMark/>
          </w:tcPr>
          <w:p w14:paraId="1569879C" w14:textId="77777777" w:rsidR="00B72CAD" w:rsidRPr="00AB4115" w:rsidRDefault="00B72CAD" w:rsidP="007D0C56">
            <w:pPr>
              <w:spacing w:after="0" w:line="240" w:lineRule="auto"/>
              <w:jc w:val="center"/>
              <w:rPr>
                <w:rFonts w:ascii="Times New Roman" w:hAnsi="Times New Roman"/>
                <w:sz w:val="24"/>
                <w:szCs w:val="24"/>
                <w:lang w:eastAsia="pt-BR"/>
              </w:rPr>
            </w:pPr>
            <w:r w:rsidRPr="00AB4115">
              <w:rPr>
                <w:rFonts w:ascii="Times New Roman" w:hAnsi="Times New Roman"/>
                <w:sz w:val="24"/>
                <w:szCs w:val="24"/>
                <w:lang w:eastAsia="pt-BR"/>
              </w:rPr>
              <w:t>05</w:t>
            </w:r>
          </w:p>
        </w:tc>
      </w:tr>
      <w:tr w:rsidR="00B72CAD" w:rsidRPr="00AB4115" w14:paraId="48ACB949" w14:textId="77777777" w:rsidTr="007D0C56">
        <w:trPr>
          <w:trHeight w:val="382"/>
          <w:jc w:val="center"/>
        </w:trPr>
        <w:tc>
          <w:tcPr>
            <w:tcW w:w="846" w:type="dxa"/>
            <w:shd w:val="clear" w:color="auto" w:fill="auto"/>
            <w:tcMar>
              <w:top w:w="72" w:type="dxa"/>
              <w:left w:w="144" w:type="dxa"/>
              <w:bottom w:w="72" w:type="dxa"/>
              <w:right w:w="144" w:type="dxa"/>
            </w:tcMar>
            <w:vAlign w:val="center"/>
            <w:hideMark/>
          </w:tcPr>
          <w:p w14:paraId="7CFB5A06" w14:textId="77777777" w:rsidR="00B72CAD" w:rsidRPr="00AB4115" w:rsidRDefault="00B72CAD" w:rsidP="00AB4115">
            <w:pPr>
              <w:spacing w:after="0" w:line="240" w:lineRule="auto"/>
              <w:jc w:val="both"/>
              <w:rPr>
                <w:rFonts w:ascii="Times New Roman" w:hAnsi="Times New Roman"/>
                <w:sz w:val="24"/>
                <w:szCs w:val="24"/>
                <w:lang w:eastAsia="pt-BR"/>
              </w:rPr>
            </w:pPr>
            <w:r w:rsidRPr="00AB4115">
              <w:rPr>
                <w:rFonts w:ascii="Times New Roman" w:hAnsi="Times New Roman"/>
                <w:sz w:val="24"/>
                <w:szCs w:val="24"/>
                <w:lang w:eastAsia="pt-BR"/>
              </w:rPr>
              <w:t>2017</w:t>
            </w:r>
          </w:p>
        </w:tc>
        <w:tc>
          <w:tcPr>
            <w:tcW w:w="2398" w:type="dxa"/>
            <w:shd w:val="clear" w:color="auto" w:fill="auto"/>
            <w:tcMar>
              <w:top w:w="72" w:type="dxa"/>
              <w:left w:w="144" w:type="dxa"/>
              <w:bottom w:w="72" w:type="dxa"/>
              <w:right w:w="144" w:type="dxa"/>
            </w:tcMar>
            <w:vAlign w:val="center"/>
            <w:hideMark/>
          </w:tcPr>
          <w:p w14:paraId="33CFEC6B" w14:textId="77777777" w:rsidR="00B72CAD" w:rsidRPr="00AB4115" w:rsidRDefault="00B72CAD" w:rsidP="007D0C56">
            <w:pPr>
              <w:spacing w:after="0" w:line="240" w:lineRule="auto"/>
              <w:jc w:val="center"/>
              <w:rPr>
                <w:rFonts w:ascii="Times New Roman" w:hAnsi="Times New Roman"/>
                <w:sz w:val="24"/>
                <w:szCs w:val="24"/>
                <w:lang w:eastAsia="pt-BR"/>
              </w:rPr>
            </w:pPr>
            <w:r w:rsidRPr="00AB4115">
              <w:rPr>
                <w:rFonts w:ascii="Times New Roman" w:hAnsi="Times New Roman"/>
                <w:sz w:val="24"/>
                <w:szCs w:val="24"/>
                <w:lang w:eastAsia="pt-BR"/>
              </w:rPr>
              <w:t>1</w:t>
            </w:r>
            <w:r w:rsidR="006C657F" w:rsidRPr="00AB4115">
              <w:rPr>
                <w:rFonts w:ascii="Times New Roman" w:hAnsi="Times New Roman"/>
                <w:sz w:val="24"/>
                <w:szCs w:val="24"/>
                <w:lang w:eastAsia="pt-BR"/>
              </w:rPr>
              <w:t>5</w:t>
            </w:r>
          </w:p>
        </w:tc>
        <w:tc>
          <w:tcPr>
            <w:tcW w:w="2398" w:type="dxa"/>
            <w:shd w:val="clear" w:color="auto" w:fill="auto"/>
            <w:tcMar>
              <w:top w:w="72" w:type="dxa"/>
              <w:left w:w="144" w:type="dxa"/>
              <w:bottom w:w="72" w:type="dxa"/>
              <w:right w:w="144" w:type="dxa"/>
            </w:tcMar>
            <w:vAlign w:val="center"/>
            <w:hideMark/>
          </w:tcPr>
          <w:p w14:paraId="4B73E586" w14:textId="77777777" w:rsidR="00B72CAD" w:rsidRPr="00AB4115" w:rsidRDefault="00B72CAD" w:rsidP="007D0C56">
            <w:pPr>
              <w:spacing w:after="0" w:line="240" w:lineRule="auto"/>
              <w:jc w:val="center"/>
              <w:rPr>
                <w:rFonts w:ascii="Times New Roman" w:hAnsi="Times New Roman"/>
                <w:sz w:val="24"/>
                <w:szCs w:val="24"/>
                <w:lang w:eastAsia="pt-BR"/>
              </w:rPr>
            </w:pPr>
            <w:r w:rsidRPr="00AB4115">
              <w:rPr>
                <w:rFonts w:ascii="Times New Roman" w:hAnsi="Times New Roman"/>
                <w:sz w:val="24"/>
                <w:szCs w:val="24"/>
                <w:lang w:eastAsia="pt-BR"/>
              </w:rPr>
              <w:t>1</w:t>
            </w:r>
            <w:r w:rsidR="006C657F" w:rsidRPr="00AB4115">
              <w:rPr>
                <w:rFonts w:ascii="Times New Roman" w:hAnsi="Times New Roman"/>
                <w:sz w:val="24"/>
                <w:szCs w:val="24"/>
                <w:lang w:eastAsia="pt-BR"/>
              </w:rPr>
              <w:t>2</w:t>
            </w:r>
          </w:p>
        </w:tc>
        <w:tc>
          <w:tcPr>
            <w:tcW w:w="2398" w:type="dxa"/>
            <w:shd w:val="clear" w:color="auto" w:fill="auto"/>
            <w:tcMar>
              <w:top w:w="72" w:type="dxa"/>
              <w:left w:w="144" w:type="dxa"/>
              <w:bottom w:w="72" w:type="dxa"/>
              <w:right w:w="144" w:type="dxa"/>
            </w:tcMar>
            <w:vAlign w:val="center"/>
            <w:hideMark/>
          </w:tcPr>
          <w:p w14:paraId="0805E88E" w14:textId="77777777" w:rsidR="00B72CAD" w:rsidRPr="00AB4115" w:rsidRDefault="00B72CAD" w:rsidP="007D0C56">
            <w:pPr>
              <w:spacing w:after="0" w:line="240" w:lineRule="auto"/>
              <w:jc w:val="center"/>
              <w:rPr>
                <w:rFonts w:ascii="Times New Roman" w:hAnsi="Times New Roman"/>
                <w:sz w:val="24"/>
                <w:szCs w:val="24"/>
                <w:lang w:eastAsia="pt-BR"/>
              </w:rPr>
            </w:pPr>
            <w:r w:rsidRPr="00AB4115">
              <w:rPr>
                <w:rFonts w:ascii="Times New Roman" w:hAnsi="Times New Roman"/>
                <w:sz w:val="24"/>
                <w:szCs w:val="24"/>
                <w:lang w:eastAsia="pt-BR"/>
              </w:rPr>
              <w:t>0</w:t>
            </w:r>
            <w:r w:rsidR="003D3216" w:rsidRPr="00AB4115">
              <w:rPr>
                <w:rFonts w:ascii="Times New Roman" w:hAnsi="Times New Roman"/>
                <w:sz w:val="24"/>
                <w:szCs w:val="24"/>
                <w:lang w:eastAsia="pt-BR"/>
              </w:rPr>
              <w:t>8</w:t>
            </w:r>
          </w:p>
        </w:tc>
      </w:tr>
      <w:tr w:rsidR="006C657F" w:rsidRPr="00AB4115" w14:paraId="0C26DABB" w14:textId="77777777" w:rsidTr="007D0C56">
        <w:trPr>
          <w:trHeight w:val="359"/>
          <w:jc w:val="center"/>
        </w:trPr>
        <w:tc>
          <w:tcPr>
            <w:tcW w:w="846" w:type="dxa"/>
            <w:shd w:val="clear" w:color="auto" w:fill="auto"/>
            <w:tcMar>
              <w:top w:w="72" w:type="dxa"/>
              <w:left w:w="144" w:type="dxa"/>
              <w:bottom w:w="72" w:type="dxa"/>
              <w:right w:w="144" w:type="dxa"/>
            </w:tcMar>
            <w:vAlign w:val="center"/>
          </w:tcPr>
          <w:p w14:paraId="5C61D62B" w14:textId="77777777" w:rsidR="006C657F" w:rsidRPr="00AB4115" w:rsidRDefault="006C657F" w:rsidP="00AB4115">
            <w:pPr>
              <w:spacing w:after="0" w:line="240" w:lineRule="auto"/>
              <w:jc w:val="both"/>
              <w:rPr>
                <w:rFonts w:ascii="Times New Roman" w:hAnsi="Times New Roman"/>
                <w:bCs/>
                <w:sz w:val="24"/>
                <w:szCs w:val="24"/>
                <w:lang w:eastAsia="pt-BR"/>
              </w:rPr>
            </w:pPr>
            <w:r w:rsidRPr="00AB4115">
              <w:rPr>
                <w:rFonts w:ascii="Times New Roman" w:hAnsi="Times New Roman"/>
                <w:bCs/>
                <w:sz w:val="24"/>
                <w:szCs w:val="24"/>
                <w:lang w:eastAsia="pt-BR"/>
              </w:rPr>
              <w:t>2018</w:t>
            </w:r>
          </w:p>
        </w:tc>
        <w:tc>
          <w:tcPr>
            <w:tcW w:w="2398" w:type="dxa"/>
            <w:shd w:val="clear" w:color="auto" w:fill="auto"/>
            <w:tcMar>
              <w:top w:w="72" w:type="dxa"/>
              <w:left w:w="144" w:type="dxa"/>
              <w:bottom w:w="72" w:type="dxa"/>
              <w:right w:w="144" w:type="dxa"/>
            </w:tcMar>
            <w:vAlign w:val="center"/>
          </w:tcPr>
          <w:p w14:paraId="48DF98D7" w14:textId="77777777" w:rsidR="006C657F" w:rsidRPr="00AB4115" w:rsidRDefault="004C42F6" w:rsidP="007D0C56">
            <w:pPr>
              <w:spacing w:after="0" w:line="240" w:lineRule="auto"/>
              <w:jc w:val="center"/>
              <w:rPr>
                <w:rFonts w:ascii="Times New Roman" w:hAnsi="Times New Roman"/>
                <w:bCs/>
                <w:sz w:val="24"/>
                <w:szCs w:val="24"/>
                <w:lang w:eastAsia="pt-BR"/>
              </w:rPr>
            </w:pPr>
            <w:r w:rsidRPr="00AB4115">
              <w:rPr>
                <w:rFonts w:ascii="Times New Roman" w:hAnsi="Times New Roman"/>
                <w:bCs/>
                <w:sz w:val="24"/>
                <w:szCs w:val="24"/>
                <w:lang w:eastAsia="pt-BR"/>
              </w:rPr>
              <w:t>12</w:t>
            </w:r>
          </w:p>
        </w:tc>
        <w:tc>
          <w:tcPr>
            <w:tcW w:w="2398" w:type="dxa"/>
            <w:shd w:val="clear" w:color="auto" w:fill="auto"/>
            <w:tcMar>
              <w:top w:w="72" w:type="dxa"/>
              <w:left w:w="144" w:type="dxa"/>
              <w:bottom w:w="72" w:type="dxa"/>
              <w:right w:w="144" w:type="dxa"/>
            </w:tcMar>
            <w:vAlign w:val="center"/>
          </w:tcPr>
          <w:p w14:paraId="41C0AA51" w14:textId="77777777" w:rsidR="006C657F" w:rsidRPr="00AB4115" w:rsidRDefault="004C42F6" w:rsidP="007D0C56">
            <w:pPr>
              <w:spacing w:after="0" w:line="240" w:lineRule="auto"/>
              <w:jc w:val="center"/>
              <w:rPr>
                <w:rFonts w:ascii="Times New Roman" w:hAnsi="Times New Roman"/>
                <w:bCs/>
                <w:sz w:val="24"/>
                <w:szCs w:val="24"/>
                <w:lang w:eastAsia="pt-BR"/>
              </w:rPr>
            </w:pPr>
            <w:r w:rsidRPr="00AB4115">
              <w:rPr>
                <w:rFonts w:ascii="Times New Roman" w:hAnsi="Times New Roman"/>
                <w:bCs/>
                <w:sz w:val="24"/>
                <w:szCs w:val="24"/>
                <w:lang w:eastAsia="pt-BR"/>
              </w:rPr>
              <w:t>27</w:t>
            </w:r>
          </w:p>
        </w:tc>
        <w:tc>
          <w:tcPr>
            <w:tcW w:w="2398" w:type="dxa"/>
            <w:shd w:val="clear" w:color="auto" w:fill="auto"/>
            <w:tcMar>
              <w:top w:w="72" w:type="dxa"/>
              <w:left w:w="144" w:type="dxa"/>
              <w:bottom w:w="72" w:type="dxa"/>
              <w:right w:w="144" w:type="dxa"/>
            </w:tcMar>
            <w:vAlign w:val="center"/>
          </w:tcPr>
          <w:p w14:paraId="39F18D26" w14:textId="77777777" w:rsidR="006C657F" w:rsidRPr="00AB4115" w:rsidRDefault="004C42F6" w:rsidP="007D0C56">
            <w:pPr>
              <w:spacing w:after="0" w:line="240" w:lineRule="auto"/>
              <w:jc w:val="center"/>
              <w:rPr>
                <w:rFonts w:ascii="Times New Roman" w:hAnsi="Times New Roman"/>
                <w:bCs/>
                <w:sz w:val="24"/>
                <w:szCs w:val="24"/>
                <w:lang w:eastAsia="pt-BR"/>
              </w:rPr>
            </w:pPr>
            <w:r w:rsidRPr="00AB4115">
              <w:rPr>
                <w:rFonts w:ascii="Times New Roman" w:hAnsi="Times New Roman"/>
                <w:bCs/>
                <w:sz w:val="24"/>
                <w:szCs w:val="24"/>
                <w:lang w:eastAsia="pt-BR"/>
              </w:rPr>
              <w:t>13</w:t>
            </w:r>
          </w:p>
        </w:tc>
      </w:tr>
      <w:tr w:rsidR="00416546" w:rsidRPr="00AB4115" w14:paraId="1D49644B" w14:textId="77777777" w:rsidTr="007D0C56">
        <w:trPr>
          <w:trHeight w:val="359"/>
          <w:jc w:val="center"/>
        </w:trPr>
        <w:tc>
          <w:tcPr>
            <w:tcW w:w="846" w:type="dxa"/>
            <w:shd w:val="clear" w:color="auto" w:fill="auto"/>
            <w:tcMar>
              <w:top w:w="72" w:type="dxa"/>
              <w:left w:w="144" w:type="dxa"/>
              <w:bottom w:w="72" w:type="dxa"/>
              <w:right w:w="144" w:type="dxa"/>
            </w:tcMar>
            <w:vAlign w:val="center"/>
          </w:tcPr>
          <w:p w14:paraId="650B5A13" w14:textId="77777777" w:rsidR="00416546" w:rsidRPr="00AB4115" w:rsidRDefault="00416546" w:rsidP="00AB4115">
            <w:pPr>
              <w:spacing w:after="0" w:line="240" w:lineRule="auto"/>
              <w:jc w:val="both"/>
              <w:rPr>
                <w:rFonts w:ascii="Times New Roman" w:hAnsi="Times New Roman"/>
                <w:bCs/>
                <w:sz w:val="24"/>
                <w:szCs w:val="24"/>
                <w:lang w:eastAsia="pt-BR"/>
              </w:rPr>
            </w:pPr>
            <w:r w:rsidRPr="00AB4115">
              <w:rPr>
                <w:rFonts w:ascii="Times New Roman" w:hAnsi="Times New Roman"/>
                <w:bCs/>
                <w:sz w:val="24"/>
                <w:szCs w:val="24"/>
                <w:lang w:eastAsia="pt-BR"/>
              </w:rPr>
              <w:t>2019</w:t>
            </w:r>
          </w:p>
        </w:tc>
        <w:tc>
          <w:tcPr>
            <w:tcW w:w="2398" w:type="dxa"/>
            <w:shd w:val="clear" w:color="auto" w:fill="auto"/>
            <w:tcMar>
              <w:top w:w="72" w:type="dxa"/>
              <w:left w:w="144" w:type="dxa"/>
              <w:bottom w:w="72" w:type="dxa"/>
              <w:right w:w="144" w:type="dxa"/>
            </w:tcMar>
            <w:vAlign w:val="center"/>
          </w:tcPr>
          <w:p w14:paraId="394C502F" w14:textId="77777777" w:rsidR="00416546" w:rsidRPr="00AB4115" w:rsidRDefault="00A3566E" w:rsidP="007D0C56">
            <w:pPr>
              <w:spacing w:after="0" w:line="240" w:lineRule="auto"/>
              <w:jc w:val="center"/>
              <w:rPr>
                <w:rFonts w:ascii="Times New Roman" w:hAnsi="Times New Roman"/>
                <w:bCs/>
                <w:sz w:val="24"/>
                <w:szCs w:val="24"/>
                <w:lang w:eastAsia="pt-BR"/>
              </w:rPr>
            </w:pPr>
            <w:r w:rsidRPr="00AB4115">
              <w:rPr>
                <w:rFonts w:ascii="Times New Roman" w:hAnsi="Times New Roman"/>
                <w:bCs/>
                <w:sz w:val="24"/>
                <w:szCs w:val="24"/>
                <w:lang w:eastAsia="pt-BR"/>
              </w:rPr>
              <w:t>12</w:t>
            </w:r>
          </w:p>
        </w:tc>
        <w:tc>
          <w:tcPr>
            <w:tcW w:w="2398" w:type="dxa"/>
            <w:shd w:val="clear" w:color="auto" w:fill="auto"/>
            <w:tcMar>
              <w:top w:w="72" w:type="dxa"/>
              <w:left w:w="144" w:type="dxa"/>
              <w:bottom w:w="72" w:type="dxa"/>
              <w:right w:w="144" w:type="dxa"/>
            </w:tcMar>
            <w:vAlign w:val="center"/>
          </w:tcPr>
          <w:p w14:paraId="4E1E336A" w14:textId="77777777" w:rsidR="00416546" w:rsidRPr="00AB4115" w:rsidRDefault="00A3566E" w:rsidP="007D0C56">
            <w:pPr>
              <w:spacing w:after="0" w:line="240" w:lineRule="auto"/>
              <w:jc w:val="center"/>
              <w:rPr>
                <w:rFonts w:ascii="Times New Roman" w:hAnsi="Times New Roman"/>
                <w:bCs/>
                <w:sz w:val="24"/>
                <w:szCs w:val="24"/>
                <w:lang w:eastAsia="pt-BR"/>
              </w:rPr>
            </w:pPr>
            <w:r w:rsidRPr="00AB4115">
              <w:rPr>
                <w:rFonts w:ascii="Times New Roman" w:hAnsi="Times New Roman"/>
                <w:bCs/>
                <w:sz w:val="24"/>
                <w:szCs w:val="24"/>
                <w:lang w:eastAsia="pt-BR"/>
              </w:rPr>
              <w:t>14</w:t>
            </w:r>
          </w:p>
        </w:tc>
        <w:tc>
          <w:tcPr>
            <w:tcW w:w="2398" w:type="dxa"/>
            <w:shd w:val="clear" w:color="auto" w:fill="auto"/>
            <w:tcMar>
              <w:top w:w="72" w:type="dxa"/>
              <w:left w:w="144" w:type="dxa"/>
              <w:bottom w:w="72" w:type="dxa"/>
              <w:right w:w="144" w:type="dxa"/>
            </w:tcMar>
            <w:vAlign w:val="center"/>
          </w:tcPr>
          <w:p w14:paraId="423D4B9D" w14:textId="77777777" w:rsidR="00416546" w:rsidRPr="00AB4115" w:rsidRDefault="00A3566E" w:rsidP="007D0C56">
            <w:pPr>
              <w:spacing w:after="0" w:line="240" w:lineRule="auto"/>
              <w:jc w:val="center"/>
              <w:rPr>
                <w:rFonts w:ascii="Times New Roman" w:hAnsi="Times New Roman"/>
                <w:bCs/>
                <w:sz w:val="24"/>
                <w:szCs w:val="24"/>
                <w:lang w:eastAsia="pt-BR"/>
              </w:rPr>
            </w:pPr>
            <w:r w:rsidRPr="00AB4115">
              <w:rPr>
                <w:rFonts w:ascii="Times New Roman" w:hAnsi="Times New Roman"/>
                <w:bCs/>
                <w:sz w:val="24"/>
                <w:szCs w:val="24"/>
                <w:lang w:eastAsia="pt-BR"/>
              </w:rPr>
              <w:t>15</w:t>
            </w:r>
          </w:p>
        </w:tc>
      </w:tr>
      <w:tr w:rsidR="00416546" w:rsidRPr="00AB4115" w14:paraId="18870B0D" w14:textId="77777777" w:rsidTr="00E55C7C">
        <w:trPr>
          <w:trHeight w:val="359"/>
          <w:jc w:val="center"/>
        </w:trPr>
        <w:tc>
          <w:tcPr>
            <w:tcW w:w="846" w:type="dxa"/>
            <w:shd w:val="clear" w:color="auto" w:fill="auto"/>
            <w:tcMar>
              <w:top w:w="72" w:type="dxa"/>
              <w:left w:w="144" w:type="dxa"/>
              <w:bottom w:w="72" w:type="dxa"/>
              <w:right w:w="144" w:type="dxa"/>
            </w:tcMar>
            <w:vAlign w:val="center"/>
          </w:tcPr>
          <w:p w14:paraId="42B71CCD" w14:textId="77777777" w:rsidR="00416546" w:rsidRPr="005B7B2F" w:rsidRDefault="00416546" w:rsidP="00AB4115">
            <w:pPr>
              <w:spacing w:after="0" w:line="240" w:lineRule="auto"/>
              <w:jc w:val="both"/>
              <w:rPr>
                <w:rFonts w:ascii="Times New Roman" w:hAnsi="Times New Roman"/>
                <w:bCs/>
                <w:sz w:val="24"/>
                <w:szCs w:val="24"/>
                <w:lang w:eastAsia="pt-BR"/>
              </w:rPr>
            </w:pPr>
            <w:r w:rsidRPr="005B7B2F">
              <w:rPr>
                <w:rFonts w:ascii="Times New Roman" w:hAnsi="Times New Roman"/>
                <w:bCs/>
                <w:sz w:val="24"/>
                <w:szCs w:val="24"/>
                <w:lang w:eastAsia="pt-BR"/>
              </w:rPr>
              <w:t>2020</w:t>
            </w:r>
          </w:p>
        </w:tc>
        <w:tc>
          <w:tcPr>
            <w:tcW w:w="2398" w:type="dxa"/>
            <w:shd w:val="clear" w:color="auto" w:fill="auto"/>
            <w:tcMar>
              <w:top w:w="72" w:type="dxa"/>
              <w:left w:w="144" w:type="dxa"/>
              <w:bottom w:w="72" w:type="dxa"/>
              <w:right w:w="144" w:type="dxa"/>
            </w:tcMar>
            <w:vAlign w:val="center"/>
          </w:tcPr>
          <w:p w14:paraId="693050C1" w14:textId="77777777" w:rsidR="00416546" w:rsidRPr="005B7B2F" w:rsidRDefault="003F4BAB" w:rsidP="007D0C56">
            <w:pPr>
              <w:spacing w:after="0" w:line="240" w:lineRule="auto"/>
              <w:jc w:val="center"/>
              <w:rPr>
                <w:rFonts w:ascii="Times New Roman" w:hAnsi="Times New Roman"/>
                <w:bCs/>
                <w:sz w:val="24"/>
                <w:szCs w:val="24"/>
                <w:lang w:eastAsia="pt-BR"/>
              </w:rPr>
            </w:pPr>
            <w:r w:rsidRPr="005B7B2F">
              <w:rPr>
                <w:rFonts w:ascii="Times New Roman" w:hAnsi="Times New Roman"/>
                <w:bCs/>
                <w:sz w:val="24"/>
                <w:szCs w:val="24"/>
                <w:lang w:eastAsia="pt-BR"/>
              </w:rPr>
              <w:t>0</w:t>
            </w:r>
            <w:r w:rsidR="00A3566E" w:rsidRPr="005B7B2F">
              <w:rPr>
                <w:rFonts w:ascii="Times New Roman" w:hAnsi="Times New Roman"/>
                <w:bCs/>
                <w:sz w:val="24"/>
                <w:szCs w:val="24"/>
                <w:lang w:eastAsia="pt-BR"/>
              </w:rPr>
              <w:t>5</w:t>
            </w:r>
          </w:p>
        </w:tc>
        <w:tc>
          <w:tcPr>
            <w:tcW w:w="2398" w:type="dxa"/>
            <w:shd w:val="clear" w:color="auto" w:fill="auto"/>
            <w:tcMar>
              <w:top w:w="72" w:type="dxa"/>
              <w:left w:w="144" w:type="dxa"/>
              <w:bottom w:w="72" w:type="dxa"/>
              <w:right w:w="144" w:type="dxa"/>
            </w:tcMar>
            <w:vAlign w:val="center"/>
          </w:tcPr>
          <w:p w14:paraId="44C26413" w14:textId="77777777" w:rsidR="00416546" w:rsidRPr="005B7B2F" w:rsidRDefault="00A3566E" w:rsidP="007D0C56">
            <w:pPr>
              <w:spacing w:after="0" w:line="240" w:lineRule="auto"/>
              <w:jc w:val="center"/>
              <w:rPr>
                <w:rFonts w:ascii="Times New Roman" w:hAnsi="Times New Roman"/>
                <w:bCs/>
                <w:sz w:val="24"/>
                <w:szCs w:val="24"/>
                <w:lang w:eastAsia="pt-BR"/>
              </w:rPr>
            </w:pPr>
            <w:r w:rsidRPr="005B7B2F">
              <w:rPr>
                <w:rFonts w:ascii="Times New Roman" w:hAnsi="Times New Roman"/>
                <w:bCs/>
                <w:sz w:val="24"/>
                <w:szCs w:val="24"/>
                <w:lang w:eastAsia="pt-BR"/>
              </w:rPr>
              <w:t>22</w:t>
            </w:r>
          </w:p>
        </w:tc>
        <w:tc>
          <w:tcPr>
            <w:tcW w:w="2398" w:type="dxa"/>
            <w:shd w:val="clear" w:color="auto" w:fill="auto"/>
            <w:tcMar>
              <w:top w:w="72" w:type="dxa"/>
              <w:left w:w="144" w:type="dxa"/>
              <w:bottom w:w="72" w:type="dxa"/>
              <w:right w:w="144" w:type="dxa"/>
            </w:tcMar>
            <w:vAlign w:val="center"/>
          </w:tcPr>
          <w:p w14:paraId="05988CCC" w14:textId="77777777" w:rsidR="00416546" w:rsidRPr="005B7B2F" w:rsidRDefault="00A3566E" w:rsidP="007D0C56">
            <w:pPr>
              <w:spacing w:after="0" w:line="240" w:lineRule="auto"/>
              <w:jc w:val="center"/>
              <w:rPr>
                <w:rFonts w:ascii="Times New Roman" w:hAnsi="Times New Roman"/>
                <w:bCs/>
                <w:sz w:val="24"/>
                <w:szCs w:val="24"/>
                <w:lang w:eastAsia="pt-BR"/>
              </w:rPr>
            </w:pPr>
            <w:r w:rsidRPr="005B7B2F">
              <w:rPr>
                <w:rFonts w:ascii="Times New Roman" w:hAnsi="Times New Roman"/>
                <w:bCs/>
                <w:sz w:val="24"/>
                <w:szCs w:val="24"/>
                <w:lang w:eastAsia="pt-BR"/>
              </w:rPr>
              <w:t>07</w:t>
            </w:r>
          </w:p>
        </w:tc>
      </w:tr>
      <w:tr w:rsidR="005B7B2F" w:rsidRPr="00AB4115" w14:paraId="4394ED98" w14:textId="77777777" w:rsidTr="00E55C7C">
        <w:trPr>
          <w:trHeight w:val="359"/>
          <w:jc w:val="center"/>
        </w:trPr>
        <w:tc>
          <w:tcPr>
            <w:tcW w:w="846" w:type="dxa"/>
            <w:shd w:val="clear" w:color="auto" w:fill="auto"/>
            <w:tcMar>
              <w:top w:w="72" w:type="dxa"/>
              <w:left w:w="144" w:type="dxa"/>
              <w:bottom w:w="72" w:type="dxa"/>
              <w:right w:w="144" w:type="dxa"/>
            </w:tcMar>
            <w:vAlign w:val="center"/>
          </w:tcPr>
          <w:p w14:paraId="65B281B9" w14:textId="77777777" w:rsidR="005B7B2F" w:rsidRPr="00E55C7C" w:rsidRDefault="005B7B2F" w:rsidP="00AB4115">
            <w:pPr>
              <w:spacing w:after="0" w:line="240" w:lineRule="auto"/>
              <w:jc w:val="both"/>
              <w:rPr>
                <w:rFonts w:ascii="Times New Roman" w:hAnsi="Times New Roman"/>
                <w:b/>
                <w:sz w:val="24"/>
                <w:szCs w:val="24"/>
                <w:lang w:eastAsia="pt-BR"/>
              </w:rPr>
            </w:pPr>
            <w:r>
              <w:rPr>
                <w:rFonts w:ascii="Times New Roman" w:hAnsi="Times New Roman"/>
                <w:b/>
                <w:sz w:val="24"/>
                <w:szCs w:val="24"/>
                <w:lang w:eastAsia="pt-BR"/>
              </w:rPr>
              <w:t>2021</w:t>
            </w:r>
          </w:p>
        </w:tc>
        <w:tc>
          <w:tcPr>
            <w:tcW w:w="2398" w:type="dxa"/>
            <w:shd w:val="clear" w:color="auto" w:fill="auto"/>
            <w:tcMar>
              <w:top w:w="72" w:type="dxa"/>
              <w:left w:w="144" w:type="dxa"/>
              <w:bottom w:w="72" w:type="dxa"/>
              <w:right w:w="144" w:type="dxa"/>
            </w:tcMar>
            <w:vAlign w:val="center"/>
          </w:tcPr>
          <w:p w14:paraId="57393B24" w14:textId="77777777" w:rsidR="005B7B2F" w:rsidRPr="00E55C7C" w:rsidRDefault="005B7B2F" w:rsidP="007D0C56">
            <w:pPr>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28</w:t>
            </w:r>
          </w:p>
        </w:tc>
        <w:tc>
          <w:tcPr>
            <w:tcW w:w="2398" w:type="dxa"/>
            <w:shd w:val="clear" w:color="auto" w:fill="auto"/>
            <w:tcMar>
              <w:top w:w="72" w:type="dxa"/>
              <w:left w:w="144" w:type="dxa"/>
              <w:bottom w:w="72" w:type="dxa"/>
              <w:right w:w="144" w:type="dxa"/>
            </w:tcMar>
            <w:vAlign w:val="center"/>
          </w:tcPr>
          <w:p w14:paraId="4737E36C" w14:textId="77777777" w:rsidR="005B7B2F" w:rsidRPr="00E55C7C" w:rsidRDefault="005B7B2F" w:rsidP="007D0C56">
            <w:pPr>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11</w:t>
            </w:r>
          </w:p>
        </w:tc>
        <w:tc>
          <w:tcPr>
            <w:tcW w:w="2398" w:type="dxa"/>
            <w:shd w:val="clear" w:color="auto" w:fill="auto"/>
            <w:tcMar>
              <w:top w:w="72" w:type="dxa"/>
              <w:left w:w="144" w:type="dxa"/>
              <w:bottom w:w="72" w:type="dxa"/>
              <w:right w:w="144" w:type="dxa"/>
            </w:tcMar>
            <w:vAlign w:val="center"/>
          </w:tcPr>
          <w:p w14:paraId="0F953182" w14:textId="77777777" w:rsidR="005B7B2F" w:rsidRPr="00E55C7C" w:rsidRDefault="005B7B2F" w:rsidP="007D0C56">
            <w:pPr>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14</w:t>
            </w:r>
          </w:p>
        </w:tc>
      </w:tr>
    </w:tbl>
    <w:p w14:paraId="73F55420" w14:textId="77777777" w:rsidR="00CE16A8" w:rsidRDefault="00F53298" w:rsidP="00536F78">
      <w:pPr>
        <w:spacing w:after="60" w:line="240" w:lineRule="auto"/>
        <w:ind w:left="284" w:right="395"/>
        <w:jc w:val="both"/>
        <w:rPr>
          <w:rFonts w:ascii="Times New Roman" w:hAnsi="Times New Roman"/>
          <w:lang w:eastAsia="pt-BR"/>
        </w:rPr>
      </w:pPr>
      <w:r>
        <w:rPr>
          <w:rFonts w:ascii="Times New Roman" w:hAnsi="Times New Roman"/>
          <w:lang w:eastAsia="pt-BR"/>
        </w:rPr>
        <w:t xml:space="preserve">   *LP: Licença Prévia.</w:t>
      </w:r>
    </w:p>
    <w:p w14:paraId="72A3D3EC" w14:textId="77777777" w:rsidR="00536F78" w:rsidRPr="00536F78" w:rsidRDefault="00536F78" w:rsidP="00536F78">
      <w:pPr>
        <w:spacing w:after="60" w:line="240" w:lineRule="auto"/>
        <w:ind w:left="284" w:right="395"/>
        <w:jc w:val="both"/>
        <w:rPr>
          <w:rFonts w:ascii="Times New Roman" w:hAnsi="Times New Roman"/>
          <w:lang w:eastAsia="pt-BR"/>
        </w:rPr>
      </w:pPr>
    </w:p>
    <w:p w14:paraId="54E44277" w14:textId="77777777" w:rsidR="00EE49BF" w:rsidRDefault="00536F78" w:rsidP="0060682E">
      <w:pPr>
        <w:spacing w:after="0" w:line="240" w:lineRule="auto"/>
        <w:jc w:val="both"/>
        <w:rPr>
          <w:rFonts w:ascii="Times New Roman" w:hAnsi="Times New Roman"/>
          <w:sz w:val="24"/>
          <w:szCs w:val="24"/>
          <w:lang w:eastAsia="pt-BR"/>
        </w:rPr>
      </w:pPr>
      <w:r w:rsidRPr="537B5449">
        <w:rPr>
          <w:rFonts w:ascii="Times New Roman" w:hAnsi="Times New Roman"/>
          <w:sz w:val="24"/>
          <w:szCs w:val="24"/>
          <w:lang w:eastAsia="pt-BR"/>
        </w:rPr>
        <w:t xml:space="preserve">A Figura 1 apresenta as Manifestações do Licenciamento ambiental emitidas de 2014 a 2021 na forma de Notas Técnicas, Informações Técnicas, Informações, Relatórios de Vistoria, Pareceres e Termos de Referência. Em 2021 foram emitidas </w:t>
      </w:r>
      <w:r w:rsidR="00E55A42">
        <w:rPr>
          <w:rFonts w:ascii="Times New Roman" w:hAnsi="Times New Roman"/>
          <w:sz w:val="24"/>
          <w:szCs w:val="24"/>
          <w:lang w:eastAsia="pt-BR"/>
        </w:rPr>
        <w:t>79</w:t>
      </w:r>
      <w:r w:rsidRPr="537B5449">
        <w:rPr>
          <w:rFonts w:ascii="Times New Roman" w:hAnsi="Times New Roman"/>
          <w:sz w:val="24"/>
          <w:szCs w:val="24"/>
          <w:lang w:eastAsia="pt-BR"/>
        </w:rPr>
        <w:t xml:space="preserve"> manifestações relacionadas ao licenciamento. Não estão contabilizados os ofícios ou outras formas de manifestação. O bloco interno do licenciamento no SEI contém atualmente mais de 370 processos, sendo 66 gerados em 2021. </w:t>
      </w:r>
      <w:r w:rsidR="00A4322F">
        <w:rPr>
          <w:rFonts w:ascii="Times New Roman" w:hAnsi="Times New Roman"/>
          <w:sz w:val="24"/>
          <w:szCs w:val="24"/>
          <w:lang w:eastAsia="pt-BR"/>
        </w:rPr>
        <w:t xml:space="preserve"> A figura apresenta uma distinção na categoria “Outros” no ano de 2021, uma vez que manifestações de várias categorias foram aumentando ao longo dos anos, como por exemplo termoelétricas, obras de urbanização e requalificação de orlas, além de </w:t>
      </w:r>
      <w:r w:rsidR="00A4322F">
        <w:rPr>
          <w:rFonts w:ascii="Times New Roman" w:hAnsi="Times New Roman"/>
          <w:sz w:val="24"/>
          <w:szCs w:val="24"/>
          <w:lang w:eastAsia="pt-BR"/>
        </w:rPr>
        <w:lastRenderedPageBreak/>
        <w:t>manifestações referentes à normativas e legislação relacionadas ao licenciamento. Assim, optou-se por detalhar essas categorias.</w:t>
      </w:r>
    </w:p>
    <w:p w14:paraId="6D35084E" w14:textId="77777777" w:rsidR="00EE49BF" w:rsidRDefault="00EE49BF" w:rsidP="0060682E">
      <w:pPr>
        <w:spacing w:after="0" w:line="240" w:lineRule="auto"/>
        <w:jc w:val="both"/>
        <w:rPr>
          <w:rFonts w:ascii="Times New Roman" w:hAnsi="Times New Roman"/>
          <w:sz w:val="24"/>
          <w:szCs w:val="24"/>
          <w:lang w:eastAsia="pt-BR"/>
        </w:rPr>
      </w:pPr>
    </w:p>
    <w:p w14:paraId="0AD00231" w14:textId="46FAB3EE" w:rsidR="00EE49BF" w:rsidRDefault="00BD4038" w:rsidP="002928E5">
      <w:pPr>
        <w:spacing w:after="0" w:line="240" w:lineRule="auto"/>
        <w:jc w:val="center"/>
        <w:rPr>
          <w:rFonts w:ascii="Times New Roman" w:hAnsi="Times New Roman"/>
          <w:color w:val="0070C0"/>
          <w:sz w:val="24"/>
          <w:szCs w:val="24"/>
          <w:highlight w:val="yellow"/>
          <w:lang w:eastAsia="pt-BR"/>
        </w:rPr>
      </w:pPr>
      <w:r>
        <w:rPr>
          <w:noProof/>
          <w:lang w:eastAsia="pt-BR"/>
        </w:rPr>
        <w:drawing>
          <wp:inline distT="0" distB="0" distL="0" distR="0" wp14:anchorId="1AD59BC9" wp14:editId="1B667BAA">
            <wp:extent cx="5561965" cy="2924175"/>
            <wp:effectExtent l="0" t="0" r="63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C77DB6" w14:textId="53BAD47D" w:rsidR="006C657F" w:rsidRDefault="00A2360F" w:rsidP="00D61D61">
      <w:pPr>
        <w:spacing w:before="80" w:after="0" w:line="240" w:lineRule="auto"/>
        <w:jc w:val="both"/>
        <w:rPr>
          <w:rFonts w:ascii="Times New Roman" w:hAnsi="Times New Roman"/>
          <w:lang w:eastAsia="pt-BR"/>
        </w:rPr>
      </w:pPr>
      <w:r w:rsidRPr="537B5449">
        <w:rPr>
          <w:rFonts w:ascii="Times New Roman" w:hAnsi="Times New Roman"/>
          <w:lang w:eastAsia="pt-BR"/>
        </w:rPr>
        <w:t>Figura 1 – Manifestações técnicas emiti</w:t>
      </w:r>
      <w:r w:rsidR="002218A9" w:rsidRPr="537B5449">
        <w:rPr>
          <w:rFonts w:ascii="Times New Roman" w:hAnsi="Times New Roman"/>
          <w:lang w:eastAsia="pt-BR"/>
        </w:rPr>
        <w:t xml:space="preserve">das pelo Centro </w:t>
      </w:r>
      <w:r w:rsidR="003070DA" w:rsidRPr="537B5449">
        <w:rPr>
          <w:rFonts w:ascii="Times New Roman" w:hAnsi="Times New Roman"/>
          <w:lang w:eastAsia="pt-BR"/>
        </w:rPr>
        <w:t>TAMAR</w:t>
      </w:r>
      <w:r w:rsidR="002218A9" w:rsidRPr="537B5449">
        <w:rPr>
          <w:rFonts w:ascii="Times New Roman" w:hAnsi="Times New Roman"/>
          <w:lang w:eastAsia="pt-BR"/>
        </w:rPr>
        <w:t xml:space="preserve"> de 201</w:t>
      </w:r>
      <w:r w:rsidR="00910264" w:rsidRPr="537B5449">
        <w:rPr>
          <w:rFonts w:ascii="Times New Roman" w:hAnsi="Times New Roman"/>
          <w:lang w:eastAsia="pt-BR"/>
        </w:rPr>
        <w:t>4</w:t>
      </w:r>
      <w:r w:rsidR="002218A9" w:rsidRPr="537B5449">
        <w:rPr>
          <w:rFonts w:ascii="Times New Roman" w:hAnsi="Times New Roman"/>
          <w:lang w:eastAsia="pt-BR"/>
        </w:rPr>
        <w:t xml:space="preserve"> a</w:t>
      </w:r>
      <w:r w:rsidRPr="537B5449">
        <w:rPr>
          <w:rFonts w:ascii="Times New Roman" w:hAnsi="Times New Roman"/>
          <w:lang w:eastAsia="pt-BR"/>
        </w:rPr>
        <w:t xml:space="preserve"> </w:t>
      </w:r>
      <w:r w:rsidR="00A3566E" w:rsidRPr="537B5449">
        <w:rPr>
          <w:rFonts w:ascii="Times New Roman" w:hAnsi="Times New Roman"/>
          <w:lang w:eastAsia="pt-BR"/>
        </w:rPr>
        <w:t>202</w:t>
      </w:r>
      <w:r w:rsidR="00910264" w:rsidRPr="537B5449">
        <w:rPr>
          <w:rFonts w:ascii="Times New Roman" w:hAnsi="Times New Roman"/>
          <w:lang w:eastAsia="pt-BR"/>
        </w:rPr>
        <w:t>1</w:t>
      </w:r>
      <w:r w:rsidRPr="537B5449">
        <w:rPr>
          <w:rFonts w:ascii="Times New Roman" w:hAnsi="Times New Roman"/>
          <w:lang w:eastAsia="pt-BR"/>
        </w:rPr>
        <w:t xml:space="preserve"> referentes a</w:t>
      </w:r>
      <w:r w:rsidR="00E36C4A" w:rsidRPr="537B5449">
        <w:rPr>
          <w:rFonts w:ascii="Times New Roman" w:hAnsi="Times New Roman"/>
          <w:lang w:eastAsia="pt-BR"/>
        </w:rPr>
        <w:t>o</w:t>
      </w:r>
      <w:r w:rsidRPr="537B5449">
        <w:rPr>
          <w:rFonts w:ascii="Times New Roman" w:hAnsi="Times New Roman"/>
          <w:lang w:eastAsia="pt-BR"/>
        </w:rPr>
        <w:t xml:space="preserve"> licenciamento ambiental.</w:t>
      </w:r>
    </w:p>
    <w:p w14:paraId="4176AF21" w14:textId="0129582A" w:rsidR="00935DC5" w:rsidRDefault="00935DC5" w:rsidP="002928E5">
      <w:pPr>
        <w:spacing w:after="0" w:line="240" w:lineRule="auto"/>
        <w:ind w:left="-142" w:right="-2"/>
        <w:jc w:val="both"/>
        <w:rPr>
          <w:rFonts w:ascii="Times New Roman" w:hAnsi="Times New Roman"/>
          <w:lang w:eastAsia="pt-BR"/>
        </w:rPr>
      </w:pPr>
    </w:p>
    <w:p w14:paraId="215F2443" w14:textId="77777777" w:rsidR="006B5216" w:rsidRDefault="00824F55" w:rsidP="00AB4115">
      <w:pPr>
        <w:spacing w:before="100" w:beforeAutospacing="1" w:after="100" w:afterAutospacing="1" w:line="240" w:lineRule="auto"/>
        <w:jc w:val="both"/>
        <w:rPr>
          <w:rFonts w:ascii="Times New Roman" w:hAnsi="Times New Roman"/>
          <w:sz w:val="24"/>
          <w:szCs w:val="24"/>
          <w:lang w:eastAsia="pt-BR"/>
        </w:rPr>
      </w:pPr>
      <w:r w:rsidRPr="00463C8C">
        <w:rPr>
          <w:rFonts w:ascii="Times New Roman" w:hAnsi="Times New Roman"/>
          <w:sz w:val="24"/>
          <w:szCs w:val="24"/>
          <w:lang w:eastAsia="pt-BR"/>
        </w:rPr>
        <w:t>A Figura 2 apresenta as Manifestações do Licenciamento ambiental emitidas no ano de 20</w:t>
      </w:r>
      <w:r w:rsidR="00A3566E" w:rsidRPr="00463C8C">
        <w:rPr>
          <w:rFonts w:ascii="Times New Roman" w:hAnsi="Times New Roman"/>
          <w:sz w:val="24"/>
          <w:szCs w:val="24"/>
          <w:lang w:eastAsia="pt-BR"/>
        </w:rPr>
        <w:t>2</w:t>
      </w:r>
      <w:r w:rsidR="00910264">
        <w:rPr>
          <w:rFonts w:ascii="Times New Roman" w:hAnsi="Times New Roman"/>
          <w:sz w:val="24"/>
          <w:szCs w:val="24"/>
          <w:lang w:eastAsia="pt-BR"/>
        </w:rPr>
        <w:t>1</w:t>
      </w:r>
      <w:r w:rsidRPr="00463C8C">
        <w:rPr>
          <w:rFonts w:ascii="Times New Roman" w:hAnsi="Times New Roman"/>
          <w:sz w:val="24"/>
          <w:szCs w:val="24"/>
          <w:lang w:eastAsia="pt-BR"/>
        </w:rPr>
        <w:t xml:space="preserve"> por tipologia de empreendimento e por estado</w:t>
      </w:r>
      <w:r w:rsidR="00251D2E">
        <w:rPr>
          <w:rFonts w:ascii="Times New Roman" w:hAnsi="Times New Roman"/>
          <w:sz w:val="24"/>
          <w:szCs w:val="24"/>
          <w:lang w:eastAsia="pt-BR"/>
        </w:rPr>
        <w:t xml:space="preserve"> da federação</w:t>
      </w:r>
      <w:r w:rsidRPr="00463C8C">
        <w:rPr>
          <w:rFonts w:ascii="Times New Roman" w:hAnsi="Times New Roman"/>
          <w:sz w:val="24"/>
          <w:szCs w:val="24"/>
          <w:lang w:eastAsia="pt-BR"/>
        </w:rPr>
        <w:t>.</w:t>
      </w:r>
      <w:r w:rsidR="00154D57" w:rsidRPr="00463C8C">
        <w:rPr>
          <w:rFonts w:ascii="Times New Roman" w:hAnsi="Times New Roman"/>
          <w:sz w:val="24"/>
          <w:szCs w:val="24"/>
          <w:lang w:eastAsia="pt-BR"/>
        </w:rPr>
        <w:t xml:space="preserve"> </w:t>
      </w:r>
    </w:p>
    <w:p w14:paraId="4D3F9D4D" w14:textId="227715E4" w:rsidR="7D2027E2" w:rsidRDefault="00BD4038" w:rsidP="00D61D61">
      <w:pPr>
        <w:spacing w:before="100" w:beforeAutospacing="1" w:after="0" w:line="240" w:lineRule="auto"/>
      </w:pPr>
      <w:r>
        <w:rPr>
          <w:noProof/>
          <w:lang w:eastAsia="pt-BR"/>
        </w:rPr>
        <w:drawing>
          <wp:inline distT="0" distB="0" distL="0" distR="0" wp14:anchorId="4D8F8CB7" wp14:editId="32D480CC">
            <wp:extent cx="5781675" cy="3019425"/>
            <wp:effectExtent l="0" t="0" r="952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E9B955" w14:textId="3F26A2B4" w:rsidR="00824F55" w:rsidRDefault="00824F55" w:rsidP="00D61D61">
      <w:pPr>
        <w:spacing w:before="80" w:after="0" w:line="240" w:lineRule="auto"/>
        <w:jc w:val="both"/>
        <w:rPr>
          <w:rFonts w:ascii="Times New Roman" w:hAnsi="Times New Roman"/>
          <w:lang w:eastAsia="pt-BR"/>
        </w:rPr>
      </w:pPr>
      <w:r w:rsidRPr="00463C8C">
        <w:rPr>
          <w:rFonts w:ascii="Times New Roman" w:hAnsi="Times New Roman"/>
          <w:lang w:eastAsia="pt-BR"/>
        </w:rPr>
        <w:t xml:space="preserve">Figura 2 – Manifestações emitidas pelo Centro </w:t>
      </w:r>
      <w:r w:rsidR="00E44BE2">
        <w:rPr>
          <w:rFonts w:ascii="Times New Roman" w:hAnsi="Times New Roman"/>
          <w:lang w:eastAsia="pt-BR"/>
        </w:rPr>
        <w:t>TAMAR</w:t>
      </w:r>
      <w:r w:rsidRPr="00463C8C">
        <w:rPr>
          <w:rFonts w:ascii="Times New Roman" w:hAnsi="Times New Roman"/>
          <w:lang w:eastAsia="pt-BR"/>
        </w:rPr>
        <w:t xml:space="preserve"> por estado e tipologia de empreendimento no ano de </w:t>
      </w:r>
      <w:r w:rsidR="00900503" w:rsidRPr="00463C8C">
        <w:rPr>
          <w:rFonts w:ascii="Times New Roman" w:hAnsi="Times New Roman"/>
          <w:lang w:eastAsia="pt-BR"/>
        </w:rPr>
        <w:t>202</w:t>
      </w:r>
      <w:r w:rsidR="006B5216">
        <w:rPr>
          <w:rFonts w:ascii="Times New Roman" w:hAnsi="Times New Roman"/>
          <w:lang w:eastAsia="pt-BR"/>
        </w:rPr>
        <w:t>1</w:t>
      </w:r>
      <w:r w:rsidRPr="00463C8C">
        <w:rPr>
          <w:rFonts w:ascii="Times New Roman" w:hAnsi="Times New Roman"/>
          <w:lang w:eastAsia="pt-BR"/>
        </w:rPr>
        <w:t>.</w:t>
      </w:r>
    </w:p>
    <w:p w14:paraId="483CA8E3" w14:textId="30B98EE3" w:rsidR="00935DC5" w:rsidRDefault="00935DC5" w:rsidP="002928E5">
      <w:pPr>
        <w:spacing w:after="0" w:line="240" w:lineRule="auto"/>
        <w:ind w:left="-284"/>
        <w:jc w:val="both"/>
        <w:rPr>
          <w:rFonts w:ascii="Times New Roman" w:hAnsi="Times New Roman"/>
          <w:lang w:eastAsia="pt-BR"/>
        </w:rPr>
      </w:pPr>
    </w:p>
    <w:p w14:paraId="2B37CE86" w14:textId="77777777" w:rsidR="00935DC5" w:rsidRDefault="00935DC5" w:rsidP="0060682E">
      <w:pPr>
        <w:spacing w:after="120" w:line="240" w:lineRule="auto"/>
        <w:jc w:val="both"/>
        <w:rPr>
          <w:rFonts w:ascii="Times New Roman" w:hAnsi="Times New Roman"/>
          <w:sz w:val="24"/>
          <w:szCs w:val="24"/>
          <w:lang w:eastAsia="pt-BR"/>
        </w:rPr>
      </w:pPr>
    </w:p>
    <w:p w14:paraId="70E8B2C0" w14:textId="130112B8" w:rsidR="00507EEE" w:rsidRPr="006502C2" w:rsidRDefault="00507EEE" w:rsidP="0060682E">
      <w:pPr>
        <w:spacing w:after="120" w:line="240" w:lineRule="auto"/>
        <w:jc w:val="both"/>
        <w:rPr>
          <w:rFonts w:ascii="Times New Roman" w:hAnsi="Times New Roman"/>
          <w:color w:val="FF0000"/>
          <w:sz w:val="24"/>
          <w:szCs w:val="24"/>
          <w:lang w:eastAsia="pt-BR"/>
        </w:rPr>
      </w:pPr>
      <w:r w:rsidRPr="00507EEE">
        <w:rPr>
          <w:rFonts w:ascii="Times New Roman" w:hAnsi="Times New Roman"/>
          <w:sz w:val="24"/>
          <w:szCs w:val="24"/>
          <w:lang w:eastAsia="pt-BR"/>
        </w:rPr>
        <w:t xml:space="preserve">Observa-se que para o corrente ano, o maior número de demandas foi no estado da Bahia, com destaque para a tipologia hotelaria, e principalmente referente ao acompanhamento de condicionantes ambientais.  </w:t>
      </w:r>
      <w:r w:rsidR="00536F78" w:rsidRPr="0049450F">
        <w:rPr>
          <w:rFonts w:ascii="Times New Roman" w:hAnsi="Times New Roman"/>
          <w:sz w:val="24"/>
          <w:szCs w:val="24"/>
          <w:lang w:eastAsia="pt-BR"/>
        </w:rPr>
        <w:t>Na categoria “Outros”</w:t>
      </w:r>
      <w:r w:rsidR="006502C2" w:rsidRPr="0049450F">
        <w:rPr>
          <w:rFonts w:ascii="Times New Roman" w:hAnsi="Times New Roman"/>
          <w:sz w:val="24"/>
          <w:szCs w:val="24"/>
          <w:lang w:eastAsia="pt-BR"/>
        </w:rPr>
        <w:t xml:space="preserve"> se enquadram demandas provenientes </w:t>
      </w:r>
      <w:r w:rsidR="006502C2" w:rsidRPr="0049450F">
        <w:rPr>
          <w:rFonts w:ascii="Times New Roman" w:hAnsi="Times New Roman"/>
          <w:sz w:val="24"/>
          <w:szCs w:val="24"/>
          <w:lang w:eastAsia="pt-BR"/>
        </w:rPr>
        <w:lastRenderedPageBreak/>
        <w:t>dos estados do</w:t>
      </w:r>
      <w:r w:rsidR="00536F78" w:rsidRPr="0049450F">
        <w:rPr>
          <w:rFonts w:ascii="Times New Roman" w:hAnsi="Times New Roman"/>
          <w:sz w:val="24"/>
          <w:szCs w:val="24"/>
          <w:lang w:eastAsia="pt-BR"/>
        </w:rPr>
        <w:t xml:space="preserve"> Pará, Rio Grande no Norte, Pernambuco</w:t>
      </w:r>
      <w:r w:rsidR="006502C2" w:rsidRPr="0049450F">
        <w:rPr>
          <w:rFonts w:ascii="Times New Roman" w:hAnsi="Times New Roman"/>
          <w:sz w:val="24"/>
          <w:szCs w:val="24"/>
          <w:lang w:eastAsia="pt-BR"/>
        </w:rPr>
        <w:t xml:space="preserve"> e Santa Catarina, além de demandas que incluem todo território nacional.</w:t>
      </w:r>
    </w:p>
    <w:p w14:paraId="3C955A03" w14:textId="77777777" w:rsidR="00507EEE" w:rsidRDefault="00507EEE" w:rsidP="0060682E">
      <w:pPr>
        <w:spacing w:after="120" w:line="240" w:lineRule="auto"/>
        <w:jc w:val="both"/>
        <w:rPr>
          <w:rFonts w:ascii="Times New Roman" w:hAnsi="Times New Roman"/>
          <w:sz w:val="24"/>
          <w:szCs w:val="24"/>
          <w:lang w:eastAsia="pt-BR"/>
        </w:rPr>
      </w:pPr>
      <w:r w:rsidRPr="00507EEE">
        <w:rPr>
          <w:rFonts w:ascii="Times New Roman" w:hAnsi="Times New Roman"/>
          <w:sz w:val="24"/>
          <w:szCs w:val="24"/>
          <w:lang w:eastAsia="pt-BR"/>
        </w:rPr>
        <w:t xml:space="preserve">Devido ao trabalho remoto, algumas atividades de campo foram reduzidas, como vistorias aos empreendimentos. No entanto, foi mantido contato com empreendedores e órgãos ambientais, tendo sido realizadas diversas reuniões remotas. Ainda assim, atividades de campo foram realizadas, como acompanhamento de instalação de transmissores em projeto de telemetria </w:t>
      </w:r>
      <w:proofErr w:type="spellStart"/>
      <w:r w:rsidRPr="00507EEE">
        <w:rPr>
          <w:rFonts w:ascii="Times New Roman" w:hAnsi="Times New Roman"/>
          <w:sz w:val="24"/>
          <w:szCs w:val="24"/>
          <w:lang w:eastAsia="pt-BR"/>
        </w:rPr>
        <w:t>satelital</w:t>
      </w:r>
      <w:proofErr w:type="spellEnd"/>
      <w:r>
        <w:rPr>
          <w:rFonts w:ascii="Times New Roman" w:hAnsi="Times New Roman"/>
          <w:sz w:val="24"/>
          <w:szCs w:val="24"/>
          <w:lang w:eastAsia="pt-BR"/>
        </w:rPr>
        <w:t xml:space="preserve">, </w:t>
      </w:r>
      <w:r w:rsidRPr="00507EEE">
        <w:rPr>
          <w:rFonts w:ascii="Times New Roman" w:hAnsi="Times New Roman"/>
          <w:sz w:val="24"/>
          <w:szCs w:val="24"/>
          <w:lang w:eastAsia="pt-BR"/>
        </w:rPr>
        <w:t xml:space="preserve">vistorias relacionadas à iluminação artificial pública e privada, entre outros. </w:t>
      </w:r>
    </w:p>
    <w:p w14:paraId="25192CA1" w14:textId="77777777" w:rsidR="00507EEE" w:rsidRPr="00507EEE" w:rsidRDefault="00507EEE" w:rsidP="0060682E">
      <w:pPr>
        <w:spacing w:after="120" w:line="240" w:lineRule="auto"/>
        <w:jc w:val="both"/>
        <w:rPr>
          <w:rFonts w:ascii="Times New Roman" w:hAnsi="Times New Roman"/>
          <w:sz w:val="24"/>
          <w:szCs w:val="24"/>
          <w:lang w:eastAsia="pt-BR"/>
        </w:rPr>
      </w:pPr>
      <w:r w:rsidRPr="00507EEE">
        <w:rPr>
          <w:rFonts w:ascii="Times New Roman" w:hAnsi="Times New Roman"/>
          <w:sz w:val="24"/>
          <w:szCs w:val="24"/>
          <w:lang w:eastAsia="pt-BR"/>
        </w:rPr>
        <w:t xml:space="preserve">Em 2021, foi finalizado o processo de atualização de alguns capítulos do Guia de licenciamento – Tartarugas Marinhas, o que fez com que o Centro </w:t>
      </w:r>
      <w:r w:rsidR="00536F78">
        <w:rPr>
          <w:rFonts w:ascii="Times New Roman" w:hAnsi="Times New Roman"/>
          <w:sz w:val="24"/>
          <w:szCs w:val="24"/>
          <w:lang w:eastAsia="pt-BR"/>
        </w:rPr>
        <w:t>TAMAR</w:t>
      </w:r>
      <w:r w:rsidRPr="00507EEE">
        <w:rPr>
          <w:rFonts w:ascii="Times New Roman" w:hAnsi="Times New Roman"/>
          <w:sz w:val="24"/>
          <w:szCs w:val="24"/>
          <w:lang w:eastAsia="pt-BR"/>
        </w:rPr>
        <w:t xml:space="preserve"> se articulasse com diversas instituições para obtenção de dados recentes de suas atividades ao longo do litoral brasileiro. As informações foram utilizadas para atualização do mapa de atuação das instituições. Assim, essa versão apresenta a primeira revisão do documento publicado em 2017, com destaque para: atualização da legislação ambiental vigente; atualização das áreas marinhas prioritárias (tópico 3.2), com elaboração de mapas de distribuição por espécie; introdução de nova tipologia de empreendimento no capítulo 5 – Complexos Eólicos Marítimos, e respectiva matriz de medidas de mitigação; atualização das atividades geradoras de impactos e medidas de mitigação do capítulo 6, em especial Iluminação Artificial, Dragagem, Derrocagem; Operações com óleo; Obras Costeiras e Ocupação da Orla; atualização do Anexo VIII – Diretrizes para Projetos Luminotécnicos; e atualização do mapa das instituições que realizam monitoramento de tartarugas (desovas e encalhes) ao longo da costa brasileira do Anexo IX. </w:t>
      </w:r>
    </w:p>
    <w:p w14:paraId="392C2664" w14:textId="77777777" w:rsidR="00507EEE" w:rsidRPr="00507EEE" w:rsidRDefault="00507EEE" w:rsidP="0060682E">
      <w:pPr>
        <w:spacing w:after="120" w:line="240" w:lineRule="auto"/>
        <w:jc w:val="both"/>
        <w:rPr>
          <w:rFonts w:ascii="Times New Roman" w:hAnsi="Times New Roman"/>
          <w:sz w:val="24"/>
          <w:szCs w:val="24"/>
          <w:lang w:eastAsia="pt-BR"/>
        </w:rPr>
      </w:pPr>
      <w:r w:rsidRPr="00507EEE">
        <w:rPr>
          <w:rFonts w:ascii="Times New Roman" w:hAnsi="Times New Roman"/>
          <w:sz w:val="24"/>
          <w:szCs w:val="24"/>
          <w:lang w:eastAsia="pt-BR"/>
        </w:rPr>
        <w:t xml:space="preserve">Em 2021 o Centro </w:t>
      </w:r>
      <w:r w:rsidR="00536F78">
        <w:rPr>
          <w:rFonts w:ascii="Times New Roman" w:hAnsi="Times New Roman"/>
          <w:sz w:val="24"/>
          <w:szCs w:val="24"/>
          <w:lang w:eastAsia="pt-BR"/>
        </w:rPr>
        <w:t>TAMAR</w:t>
      </w:r>
      <w:r w:rsidRPr="00507EEE">
        <w:rPr>
          <w:rFonts w:ascii="Times New Roman" w:hAnsi="Times New Roman"/>
          <w:sz w:val="24"/>
          <w:szCs w:val="24"/>
          <w:lang w:eastAsia="pt-BR"/>
        </w:rPr>
        <w:t xml:space="preserve"> acompanhou a elaboração e implementação de programas de monitoramento de tartarugas marinhas por telemetria </w:t>
      </w:r>
      <w:proofErr w:type="spellStart"/>
      <w:r w:rsidRPr="00507EEE">
        <w:rPr>
          <w:rFonts w:ascii="Times New Roman" w:hAnsi="Times New Roman"/>
          <w:sz w:val="24"/>
          <w:szCs w:val="24"/>
          <w:lang w:eastAsia="pt-BR"/>
        </w:rPr>
        <w:t>satelital</w:t>
      </w:r>
      <w:proofErr w:type="spellEnd"/>
      <w:r w:rsidRPr="00507EEE">
        <w:rPr>
          <w:rFonts w:ascii="Times New Roman" w:hAnsi="Times New Roman"/>
          <w:sz w:val="24"/>
          <w:szCs w:val="24"/>
          <w:lang w:eastAsia="pt-BR"/>
        </w:rPr>
        <w:t xml:space="preserve">, como condicionantes de processos de licenciamento ambiental federal de atividade sísmica e portuária, além do programa executado pela Fundação Renova, no âmbito do rompimento da barragem de rejeitos de minério em Mariana-MG, do grupo Samarco/Vale/BHP. O acompanhamento foi feito principalmente de forma remota, mas houve também a realização de ida a campo e reunião presencial. </w:t>
      </w:r>
    </w:p>
    <w:p w14:paraId="237328F8" w14:textId="77777777" w:rsidR="00507EEE" w:rsidRPr="00507EEE" w:rsidRDefault="00507EEE" w:rsidP="0060682E">
      <w:pPr>
        <w:spacing w:after="120" w:line="240" w:lineRule="auto"/>
        <w:jc w:val="both"/>
        <w:rPr>
          <w:rFonts w:ascii="Times New Roman" w:hAnsi="Times New Roman"/>
          <w:sz w:val="24"/>
          <w:szCs w:val="24"/>
          <w:lang w:eastAsia="pt-BR"/>
        </w:rPr>
      </w:pPr>
      <w:r w:rsidRPr="00507EEE">
        <w:rPr>
          <w:rFonts w:ascii="Times New Roman" w:hAnsi="Times New Roman"/>
          <w:sz w:val="24"/>
          <w:szCs w:val="24"/>
          <w:lang w:eastAsia="pt-BR"/>
        </w:rPr>
        <w:t xml:space="preserve">A equipe de licenciamento da sede e servidores das bases ainda estiveram envolvidos em ações relativas a duas Emergências Ambientais de grande porte e abrangência espacial: rompimento da barragem de rejeitos de minério (05/12/15) em Bento Rodrigues, Mariana-MG, do grupo Samarco/Vale/BHP e Derramamento de óleo na costa brasileira em 2019. Em ambos os casos, o aporte de rejeitos/poluentes foi continuado por meses ou anos, com impactos prolongados que exigem ações de monitoramento, mitigação e reparação. </w:t>
      </w:r>
    </w:p>
    <w:p w14:paraId="72807F80" w14:textId="64C0C056" w:rsidR="00507EEE" w:rsidRPr="00507EEE" w:rsidRDefault="00507EEE" w:rsidP="0060682E">
      <w:pPr>
        <w:spacing w:after="120" w:line="240" w:lineRule="auto"/>
        <w:jc w:val="both"/>
        <w:rPr>
          <w:rFonts w:ascii="Times New Roman" w:hAnsi="Times New Roman"/>
          <w:sz w:val="24"/>
          <w:szCs w:val="24"/>
          <w:lang w:eastAsia="pt-BR"/>
        </w:rPr>
      </w:pPr>
      <w:r w:rsidRPr="00507EEE">
        <w:rPr>
          <w:rFonts w:ascii="Times New Roman" w:hAnsi="Times New Roman"/>
          <w:sz w:val="24"/>
          <w:szCs w:val="24"/>
          <w:lang w:eastAsia="pt-BR"/>
        </w:rPr>
        <w:t xml:space="preserve">As ações relacionadas ao desastre da Samarco envolveram participação em reuniões online e análise dos relatórios elaborados pela Rede Rio Doce Mar e relatórios de monitoramento de tartarugas marinhas na Planície Costeira do Rio Doce, elaborados pela </w:t>
      </w:r>
      <w:r w:rsidRPr="00BF19C6">
        <w:rPr>
          <w:rFonts w:ascii="Times New Roman" w:hAnsi="Times New Roman"/>
          <w:sz w:val="24"/>
          <w:szCs w:val="24"/>
          <w:lang w:eastAsia="pt-BR"/>
        </w:rPr>
        <w:t xml:space="preserve">Fundação </w:t>
      </w:r>
      <w:r w:rsidR="003C4D62" w:rsidRPr="00BF19C6">
        <w:rPr>
          <w:rFonts w:ascii="Times New Roman" w:hAnsi="Times New Roman"/>
          <w:sz w:val="24"/>
          <w:szCs w:val="24"/>
          <w:lang w:eastAsia="pt-BR"/>
        </w:rPr>
        <w:t>Projeto</w:t>
      </w:r>
      <w:r w:rsidR="003C4D62">
        <w:rPr>
          <w:rFonts w:ascii="Times New Roman" w:hAnsi="Times New Roman"/>
          <w:sz w:val="24"/>
          <w:szCs w:val="24"/>
          <w:lang w:eastAsia="pt-BR"/>
        </w:rPr>
        <w:t xml:space="preserve"> </w:t>
      </w:r>
      <w:r>
        <w:rPr>
          <w:rFonts w:ascii="Times New Roman" w:hAnsi="Times New Roman"/>
          <w:sz w:val="24"/>
          <w:szCs w:val="24"/>
          <w:lang w:eastAsia="pt-BR"/>
        </w:rPr>
        <w:t>TAMAR</w:t>
      </w:r>
      <w:r w:rsidRPr="00507EEE">
        <w:rPr>
          <w:rFonts w:ascii="Times New Roman" w:hAnsi="Times New Roman"/>
          <w:sz w:val="24"/>
          <w:szCs w:val="24"/>
          <w:lang w:eastAsia="pt-BR"/>
        </w:rPr>
        <w:t xml:space="preserve">, contratadas pela Fundação Renova.  </w:t>
      </w:r>
    </w:p>
    <w:p w14:paraId="75543866" w14:textId="77777777" w:rsidR="00BF19C6" w:rsidRDefault="00BF19C6" w:rsidP="00AB4115">
      <w:pPr>
        <w:spacing w:before="100" w:beforeAutospacing="1" w:after="100" w:afterAutospacing="1" w:line="240" w:lineRule="auto"/>
        <w:jc w:val="both"/>
        <w:rPr>
          <w:rFonts w:ascii="Times New Roman" w:hAnsi="Times New Roman"/>
          <w:b/>
          <w:caps/>
          <w:sz w:val="24"/>
          <w:szCs w:val="24"/>
        </w:rPr>
      </w:pPr>
    </w:p>
    <w:p w14:paraId="539BAA7B" w14:textId="0D6BA2E1" w:rsidR="007048E8" w:rsidRPr="00AB4115" w:rsidRDefault="00C36156" w:rsidP="00AB4115">
      <w:pPr>
        <w:spacing w:before="100" w:beforeAutospacing="1" w:after="100" w:afterAutospacing="1" w:line="240" w:lineRule="auto"/>
        <w:jc w:val="both"/>
        <w:rPr>
          <w:rFonts w:ascii="Times New Roman" w:hAnsi="Times New Roman"/>
          <w:b/>
          <w:caps/>
          <w:sz w:val="24"/>
          <w:szCs w:val="24"/>
        </w:rPr>
      </w:pPr>
      <w:r w:rsidRPr="00AB4115">
        <w:rPr>
          <w:rFonts w:ascii="Times New Roman" w:hAnsi="Times New Roman"/>
          <w:b/>
          <w:caps/>
          <w:sz w:val="24"/>
          <w:szCs w:val="24"/>
        </w:rPr>
        <w:t xml:space="preserve">III – </w:t>
      </w:r>
      <w:r w:rsidR="007048E8" w:rsidRPr="00AB4115">
        <w:rPr>
          <w:rFonts w:ascii="Times New Roman" w:hAnsi="Times New Roman"/>
          <w:b/>
          <w:caps/>
          <w:sz w:val="24"/>
          <w:szCs w:val="24"/>
        </w:rPr>
        <w:t>Conclusão</w:t>
      </w:r>
    </w:p>
    <w:p w14:paraId="3AF1C562" w14:textId="77777777" w:rsidR="00507EEE" w:rsidRPr="00507EEE" w:rsidRDefault="00507EEE" w:rsidP="0060682E">
      <w:pPr>
        <w:spacing w:after="120" w:line="240" w:lineRule="auto"/>
        <w:jc w:val="both"/>
        <w:rPr>
          <w:rFonts w:ascii="Times New Roman" w:hAnsi="Times New Roman"/>
          <w:sz w:val="24"/>
        </w:rPr>
      </w:pPr>
      <w:r w:rsidRPr="00507EEE">
        <w:rPr>
          <w:rFonts w:ascii="Times New Roman" w:hAnsi="Times New Roman"/>
          <w:sz w:val="24"/>
        </w:rPr>
        <w:t xml:space="preserve">O Centro </w:t>
      </w:r>
      <w:r>
        <w:rPr>
          <w:rFonts w:ascii="Times New Roman" w:hAnsi="Times New Roman"/>
          <w:sz w:val="24"/>
        </w:rPr>
        <w:t>TAMAR</w:t>
      </w:r>
      <w:r w:rsidRPr="00507EEE">
        <w:rPr>
          <w:rFonts w:ascii="Times New Roman" w:hAnsi="Times New Roman"/>
          <w:sz w:val="24"/>
        </w:rPr>
        <w:t xml:space="preserve"> tem realizado as ações relativas ao licenciamento ambiental, mas em 2021, devido à pandemia do Coronavírus, a maior parte do trabalho foi realizada de forma remota (</w:t>
      </w:r>
      <w:r w:rsidRPr="0060682E">
        <w:rPr>
          <w:rFonts w:ascii="Times New Roman" w:hAnsi="Times New Roman"/>
          <w:i/>
          <w:iCs/>
          <w:sz w:val="24"/>
        </w:rPr>
        <w:t>home office</w:t>
      </w:r>
      <w:r w:rsidRPr="00507EEE">
        <w:rPr>
          <w:rFonts w:ascii="Times New Roman" w:hAnsi="Times New Roman"/>
          <w:sz w:val="24"/>
        </w:rPr>
        <w:t xml:space="preserve">). Foi observado aumento da demanda de manifestação do Centro, principalmente relacionados a atividades imobiliárias/hotelaria. </w:t>
      </w:r>
    </w:p>
    <w:p w14:paraId="3016BCE4" w14:textId="77777777" w:rsidR="00507EEE" w:rsidRPr="00507EEE" w:rsidRDefault="00507EEE" w:rsidP="0060682E">
      <w:pPr>
        <w:spacing w:after="120" w:line="240" w:lineRule="auto"/>
        <w:jc w:val="both"/>
        <w:rPr>
          <w:rFonts w:ascii="Times New Roman" w:hAnsi="Times New Roman"/>
          <w:sz w:val="24"/>
        </w:rPr>
      </w:pPr>
      <w:r w:rsidRPr="00507EEE">
        <w:rPr>
          <w:rFonts w:ascii="Times New Roman" w:hAnsi="Times New Roman"/>
          <w:sz w:val="24"/>
        </w:rPr>
        <w:t xml:space="preserve">De forma geral, foram priorizadas as análises de relatórios e projetos de acompanhamento de condicionantes, as análises de estudos ambientais para emissão de parecer na fase de </w:t>
      </w:r>
      <w:proofErr w:type="spellStart"/>
      <w:r w:rsidRPr="00507EEE">
        <w:rPr>
          <w:rFonts w:ascii="Times New Roman" w:hAnsi="Times New Roman"/>
          <w:sz w:val="24"/>
        </w:rPr>
        <w:t>pré</w:t>
      </w:r>
      <w:proofErr w:type="spellEnd"/>
      <w:r w:rsidRPr="00507EEE">
        <w:rPr>
          <w:rFonts w:ascii="Times New Roman" w:hAnsi="Times New Roman"/>
          <w:sz w:val="24"/>
        </w:rPr>
        <w:t>-</w:t>
      </w:r>
      <w:r w:rsidRPr="00507EEE">
        <w:rPr>
          <w:rFonts w:ascii="Times New Roman" w:hAnsi="Times New Roman"/>
          <w:sz w:val="24"/>
        </w:rPr>
        <w:lastRenderedPageBreak/>
        <w:t>licenciamento, respostas ao Ministério Público Federal e Estaduais, bem como análise de relatórios de monitoramento. Tais atividades continuaram sendo executadas sem prejuízo no formato de trabalho remoto (</w:t>
      </w:r>
      <w:r w:rsidRPr="0060682E">
        <w:rPr>
          <w:rFonts w:ascii="Times New Roman" w:hAnsi="Times New Roman"/>
          <w:i/>
          <w:iCs/>
          <w:sz w:val="24"/>
        </w:rPr>
        <w:t>home office</w:t>
      </w:r>
      <w:r w:rsidRPr="00507EEE">
        <w:rPr>
          <w:rFonts w:ascii="Times New Roman" w:hAnsi="Times New Roman"/>
          <w:sz w:val="24"/>
        </w:rPr>
        <w:t xml:space="preserve">). E o momento também foi oportuno para a atualização do Guia de Licenciamento. </w:t>
      </w:r>
    </w:p>
    <w:p w14:paraId="6F753B1A" w14:textId="77777777" w:rsidR="00251D2E" w:rsidRDefault="00507EEE" w:rsidP="0060682E">
      <w:pPr>
        <w:spacing w:after="120" w:line="240" w:lineRule="auto"/>
        <w:jc w:val="both"/>
        <w:rPr>
          <w:rFonts w:ascii="Times New Roman" w:hAnsi="Times New Roman"/>
          <w:sz w:val="24"/>
        </w:rPr>
      </w:pPr>
      <w:r w:rsidRPr="00507EEE">
        <w:rPr>
          <w:rFonts w:ascii="Times New Roman" w:hAnsi="Times New Roman"/>
          <w:sz w:val="24"/>
        </w:rPr>
        <w:t>Assim, o ano de 2021 deu continuidade aos desafios relacionados à pandemia de Covid-19, que demandou distanciamento social e outras medidas de segurança sanitária. Entretanto, ainda que o Centro TAMA</w:t>
      </w:r>
      <w:r>
        <w:rPr>
          <w:rFonts w:ascii="Times New Roman" w:hAnsi="Times New Roman"/>
          <w:sz w:val="24"/>
        </w:rPr>
        <w:t>R</w:t>
      </w:r>
      <w:r w:rsidRPr="00507EEE">
        <w:rPr>
          <w:rFonts w:ascii="Times New Roman" w:hAnsi="Times New Roman"/>
          <w:sz w:val="24"/>
        </w:rPr>
        <w:t xml:space="preserve"> venha enfrentando estes desafios, toda a equipe se mostrou resiliente, flexível e dedicada, possibilitando assim o atendimento adequado das demandas de licenciamento ambiental.</w:t>
      </w:r>
    </w:p>
    <w:p w14:paraId="3DEEC669" w14:textId="77777777" w:rsidR="00507EEE" w:rsidRDefault="00507EEE" w:rsidP="00507EEE">
      <w:pPr>
        <w:spacing w:after="0" w:line="240" w:lineRule="auto"/>
        <w:jc w:val="both"/>
        <w:rPr>
          <w:rFonts w:ascii="Times New Roman" w:hAnsi="Times New Roman"/>
          <w:sz w:val="24"/>
        </w:rPr>
      </w:pPr>
    </w:p>
    <w:p w14:paraId="54D73234" w14:textId="30077986" w:rsidR="007048E8" w:rsidRPr="00AB4115" w:rsidRDefault="001E1DD2" w:rsidP="00AB4115">
      <w:pPr>
        <w:spacing w:before="100" w:beforeAutospacing="1" w:after="100" w:afterAutospacing="1" w:line="240" w:lineRule="auto"/>
        <w:jc w:val="both"/>
        <w:rPr>
          <w:rFonts w:ascii="Times New Roman" w:hAnsi="Times New Roman"/>
          <w:sz w:val="24"/>
        </w:rPr>
      </w:pPr>
      <w:r w:rsidRPr="00AB4115">
        <w:rPr>
          <w:rFonts w:ascii="Times New Roman" w:hAnsi="Times New Roman"/>
          <w:sz w:val="24"/>
        </w:rPr>
        <w:t>Vitória</w:t>
      </w:r>
      <w:r w:rsidRPr="007E4F88">
        <w:rPr>
          <w:rFonts w:ascii="Times New Roman" w:hAnsi="Times New Roman"/>
          <w:sz w:val="24"/>
        </w:rPr>
        <w:t>,</w:t>
      </w:r>
      <w:r w:rsidR="007E4F88" w:rsidRPr="007E4F88">
        <w:rPr>
          <w:rFonts w:ascii="Times New Roman" w:hAnsi="Times New Roman"/>
          <w:sz w:val="24"/>
        </w:rPr>
        <w:t xml:space="preserve"> </w:t>
      </w:r>
      <w:bookmarkStart w:id="0" w:name="_GoBack"/>
      <w:bookmarkEnd w:id="0"/>
      <w:r w:rsidR="007E4F88">
        <w:rPr>
          <w:rFonts w:ascii="Times New Roman" w:hAnsi="Times New Roman"/>
          <w:sz w:val="24"/>
        </w:rPr>
        <w:t xml:space="preserve">22 </w:t>
      </w:r>
      <w:r w:rsidR="002218A9" w:rsidRPr="00AB4115">
        <w:rPr>
          <w:rFonts w:ascii="Times New Roman" w:hAnsi="Times New Roman"/>
          <w:sz w:val="24"/>
        </w:rPr>
        <w:t xml:space="preserve">de </w:t>
      </w:r>
      <w:r w:rsidR="00EE49BF">
        <w:rPr>
          <w:rFonts w:ascii="Times New Roman" w:hAnsi="Times New Roman"/>
          <w:sz w:val="24"/>
        </w:rPr>
        <w:t>fevereiro</w:t>
      </w:r>
      <w:r w:rsidR="001968AC">
        <w:rPr>
          <w:rFonts w:ascii="Times New Roman" w:hAnsi="Times New Roman"/>
          <w:sz w:val="24"/>
        </w:rPr>
        <w:t xml:space="preserve"> </w:t>
      </w:r>
      <w:r w:rsidR="003562CE" w:rsidRPr="00AB4115">
        <w:rPr>
          <w:rFonts w:ascii="Times New Roman" w:hAnsi="Times New Roman"/>
          <w:sz w:val="24"/>
        </w:rPr>
        <w:t xml:space="preserve">de </w:t>
      </w:r>
      <w:r w:rsidR="00212417" w:rsidRPr="00AB4115">
        <w:rPr>
          <w:rFonts w:ascii="Times New Roman" w:hAnsi="Times New Roman"/>
          <w:sz w:val="24"/>
        </w:rPr>
        <w:t>202</w:t>
      </w:r>
      <w:r w:rsidR="0046141C">
        <w:rPr>
          <w:rFonts w:ascii="Times New Roman" w:hAnsi="Times New Roman"/>
          <w:sz w:val="24"/>
        </w:rPr>
        <w:t>2</w:t>
      </w:r>
      <w:r w:rsidR="007048E8" w:rsidRPr="00AB4115">
        <w:rPr>
          <w:rFonts w:ascii="Times New Roman" w:hAnsi="Times New Roman"/>
          <w:sz w:val="24"/>
        </w:rPr>
        <w:t>.</w:t>
      </w:r>
    </w:p>
    <w:p w14:paraId="049F31CB" w14:textId="77777777" w:rsidR="0019453E" w:rsidRPr="00AB4115" w:rsidRDefault="0019453E" w:rsidP="00AB4115">
      <w:pPr>
        <w:spacing w:before="100" w:beforeAutospacing="1" w:after="100" w:afterAutospacing="1" w:line="240" w:lineRule="auto"/>
        <w:jc w:val="both"/>
        <w:rPr>
          <w:rFonts w:ascii="Times New Roman" w:hAnsi="Times New Roman"/>
          <w:sz w:val="24"/>
          <w:szCs w:val="24"/>
        </w:rPr>
      </w:pPr>
    </w:p>
    <w:tbl>
      <w:tblPr>
        <w:tblW w:w="86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341"/>
        <w:gridCol w:w="4341"/>
      </w:tblGrid>
      <w:tr w:rsidR="00251D2E" w:rsidRPr="00746C8A" w14:paraId="14DB7DE3" w14:textId="77777777" w:rsidTr="00EE49BF">
        <w:trPr>
          <w:trHeight w:val="1036"/>
          <w:jc w:val="center"/>
        </w:trPr>
        <w:tc>
          <w:tcPr>
            <w:tcW w:w="4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86C05" w14:textId="77777777" w:rsidR="00251D2E" w:rsidRPr="007E589A" w:rsidRDefault="00251D2E" w:rsidP="00EE49BF">
            <w:pPr>
              <w:pBdr>
                <w:top w:val="nil"/>
                <w:left w:val="nil"/>
                <w:bottom w:val="nil"/>
                <w:right w:val="nil"/>
                <w:between w:val="nil"/>
                <w:bar w:val="nil"/>
              </w:pBdr>
              <w:spacing w:after="0" w:line="240" w:lineRule="auto"/>
              <w:jc w:val="center"/>
              <w:rPr>
                <w:rFonts w:eastAsia="Arial Unicode MS"/>
                <w:b/>
                <w:bCs/>
                <w:caps/>
                <w:bdr w:val="nil"/>
              </w:rPr>
            </w:pPr>
          </w:p>
          <w:p w14:paraId="68A7028A" w14:textId="77777777" w:rsidR="00251D2E" w:rsidRPr="007E589A" w:rsidRDefault="00251D2E" w:rsidP="00EE49BF">
            <w:pPr>
              <w:pBdr>
                <w:top w:val="nil"/>
                <w:left w:val="nil"/>
                <w:bottom w:val="nil"/>
                <w:right w:val="nil"/>
                <w:between w:val="nil"/>
                <w:bar w:val="nil"/>
              </w:pBdr>
              <w:spacing w:after="0" w:line="240" w:lineRule="auto"/>
              <w:jc w:val="center"/>
              <w:rPr>
                <w:rFonts w:ascii="Times New Roman" w:hAnsi="Times New Roman"/>
                <w:b/>
                <w:bCs/>
                <w:caps/>
                <w:bdr w:val="nil"/>
              </w:rPr>
            </w:pPr>
            <w:r w:rsidRPr="007E589A">
              <w:rPr>
                <w:rFonts w:ascii="Times New Roman" w:eastAsia="Arial Unicode MS" w:hAnsi="Times New Roman"/>
                <w:b/>
                <w:bCs/>
                <w:caps/>
                <w:bdr w:val="nil"/>
              </w:rPr>
              <w:t xml:space="preserve">Gabriella Tiradentes Pizetta </w:t>
            </w:r>
          </w:p>
          <w:p w14:paraId="1E9AB119" w14:textId="77777777" w:rsidR="00251D2E" w:rsidRPr="007E589A" w:rsidRDefault="00251D2E" w:rsidP="00EE49BF">
            <w:pPr>
              <w:pBdr>
                <w:top w:val="nil"/>
                <w:left w:val="nil"/>
                <w:bottom w:val="nil"/>
                <w:right w:val="nil"/>
                <w:between w:val="nil"/>
                <w:bar w:val="nil"/>
              </w:pBdr>
              <w:spacing w:after="0" w:line="240" w:lineRule="auto"/>
              <w:jc w:val="center"/>
              <w:rPr>
                <w:rFonts w:ascii="Times New Roman" w:hAnsi="Times New Roman"/>
                <w:sz w:val="24"/>
                <w:szCs w:val="24"/>
                <w:bdr w:val="nil"/>
              </w:rPr>
            </w:pPr>
            <w:r w:rsidRPr="007E589A">
              <w:rPr>
                <w:rFonts w:ascii="Times New Roman" w:eastAsia="Arial Unicode MS" w:hAnsi="Times New Roman"/>
                <w:sz w:val="24"/>
                <w:szCs w:val="24"/>
                <w:bdr w:val="nil"/>
              </w:rPr>
              <w:t>Analista Ambiental</w:t>
            </w:r>
          </w:p>
          <w:p w14:paraId="2B267D97" w14:textId="77777777" w:rsidR="00251D2E" w:rsidRPr="007E589A" w:rsidRDefault="00251D2E" w:rsidP="00EE49BF">
            <w:pPr>
              <w:pBdr>
                <w:top w:val="nil"/>
                <w:left w:val="nil"/>
                <w:bottom w:val="nil"/>
                <w:right w:val="nil"/>
                <w:between w:val="nil"/>
                <w:bar w:val="nil"/>
              </w:pBdr>
              <w:spacing w:after="0" w:line="240" w:lineRule="auto"/>
              <w:jc w:val="center"/>
              <w:rPr>
                <w:rFonts w:eastAsia="Arial Unicode MS"/>
                <w:bdr w:val="nil"/>
              </w:rPr>
            </w:pPr>
            <w:r w:rsidRPr="007E589A">
              <w:rPr>
                <w:rFonts w:ascii="Times New Roman" w:eastAsia="Arial Unicode MS" w:hAnsi="Times New Roman"/>
                <w:sz w:val="24"/>
                <w:szCs w:val="24"/>
                <w:bdr w:val="nil"/>
              </w:rPr>
              <w:t>Centro TAMAR-ICMBio</w:t>
            </w:r>
          </w:p>
        </w:tc>
        <w:tc>
          <w:tcPr>
            <w:tcW w:w="4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9056E" w14:textId="77777777" w:rsidR="00251D2E" w:rsidRPr="007E589A" w:rsidRDefault="00251D2E" w:rsidP="00EE49BF">
            <w:pPr>
              <w:pBdr>
                <w:top w:val="nil"/>
                <w:left w:val="nil"/>
                <w:bottom w:val="nil"/>
                <w:right w:val="nil"/>
                <w:between w:val="nil"/>
                <w:bar w:val="nil"/>
              </w:pBdr>
              <w:spacing w:after="0" w:line="240" w:lineRule="auto"/>
              <w:jc w:val="center"/>
              <w:rPr>
                <w:rFonts w:eastAsia="Arial Unicode MS"/>
                <w:b/>
                <w:bCs/>
                <w:caps/>
                <w:bdr w:val="nil"/>
              </w:rPr>
            </w:pPr>
          </w:p>
          <w:p w14:paraId="62DC4623" w14:textId="77777777" w:rsidR="00251D2E" w:rsidRPr="007E589A" w:rsidRDefault="00251D2E" w:rsidP="00EE49BF">
            <w:pPr>
              <w:pBdr>
                <w:top w:val="nil"/>
                <w:left w:val="nil"/>
                <w:bottom w:val="nil"/>
                <w:right w:val="nil"/>
                <w:between w:val="nil"/>
                <w:bar w:val="nil"/>
              </w:pBdr>
              <w:spacing w:after="0" w:line="240" w:lineRule="auto"/>
              <w:jc w:val="center"/>
              <w:rPr>
                <w:rFonts w:ascii="Times New Roman" w:hAnsi="Times New Roman"/>
                <w:b/>
                <w:bCs/>
                <w:caps/>
                <w:bdr w:val="nil"/>
              </w:rPr>
            </w:pPr>
            <w:r w:rsidRPr="007E589A">
              <w:rPr>
                <w:rFonts w:ascii="Times New Roman" w:eastAsia="Arial Unicode MS" w:hAnsi="Times New Roman"/>
                <w:b/>
                <w:bCs/>
                <w:caps/>
                <w:bdr w:val="nil"/>
              </w:rPr>
              <w:t>SANDRA MÁRCIA XAVIER TAVARES</w:t>
            </w:r>
          </w:p>
          <w:p w14:paraId="16A005B9" w14:textId="77777777" w:rsidR="00251D2E" w:rsidRPr="007E589A" w:rsidRDefault="00251D2E" w:rsidP="00EE49BF">
            <w:pPr>
              <w:pBdr>
                <w:top w:val="nil"/>
                <w:left w:val="nil"/>
                <w:bottom w:val="nil"/>
                <w:right w:val="nil"/>
                <w:between w:val="nil"/>
                <w:bar w:val="nil"/>
              </w:pBdr>
              <w:spacing w:after="0" w:line="240" w:lineRule="auto"/>
              <w:jc w:val="center"/>
              <w:rPr>
                <w:rFonts w:ascii="Times New Roman" w:hAnsi="Times New Roman"/>
                <w:sz w:val="24"/>
                <w:szCs w:val="24"/>
                <w:bdr w:val="nil"/>
              </w:rPr>
            </w:pPr>
            <w:r w:rsidRPr="007E589A">
              <w:rPr>
                <w:rFonts w:ascii="Times New Roman" w:eastAsia="Arial Unicode MS" w:hAnsi="Times New Roman"/>
                <w:sz w:val="24"/>
                <w:szCs w:val="24"/>
                <w:bdr w:val="nil"/>
              </w:rPr>
              <w:t>Analista Ambiental</w:t>
            </w:r>
          </w:p>
          <w:p w14:paraId="67687721" w14:textId="77777777" w:rsidR="00251D2E" w:rsidRPr="007E589A" w:rsidRDefault="00251D2E" w:rsidP="00EE49BF">
            <w:pPr>
              <w:pBdr>
                <w:top w:val="nil"/>
                <w:left w:val="nil"/>
                <w:bottom w:val="nil"/>
                <w:right w:val="nil"/>
                <w:between w:val="nil"/>
                <w:bar w:val="nil"/>
              </w:pBdr>
              <w:spacing w:after="0" w:line="240" w:lineRule="auto"/>
              <w:jc w:val="center"/>
              <w:rPr>
                <w:rFonts w:eastAsia="Arial Unicode MS"/>
                <w:bdr w:val="nil"/>
              </w:rPr>
            </w:pPr>
            <w:r w:rsidRPr="007E589A">
              <w:rPr>
                <w:rFonts w:ascii="Times New Roman" w:eastAsia="Arial Unicode MS" w:hAnsi="Times New Roman"/>
                <w:sz w:val="24"/>
                <w:szCs w:val="24"/>
                <w:bdr w:val="nil"/>
              </w:rPr>
              <w:t>Centro TAMAR-ICMBio</w:t>
            </w:r>
          </w:p>
        </w:tc>
      </w:tr>
    </w:tbl>
    <w:p w14:paraId="1299C43A" w14:textId="77777777" w:rsidR="00053F9D" w:rsidRPr="00AB4115" w:rsidRDefault="00053F9D" w:rsidP="00EE49BF">
      <w:pPr>
        <w:spacing w:before="100" w:beforeAutospacing="1" w:after="100" w:afterAutospacing="1" w:line="240" w:lineRule="auto"/>
        <w:jc w:val="both"/>
        <w:rPr>
          <w:rFonts w:ascii="Times New Roman" w:eastAsia="TimesNewRomanPSMT" w:hAnsi="Times New Roman"/>
          <w:sz w:val="24"/>
          <w:szCs w:val="24"/>
        </w:rPr>
      </w:pPr>
    </w:p>
    <w:sectPr w:rsidR="00053F9D" w:rsidRPr="00AB4115" w:rsidSect="000239C5">
      <w:footerReference w:type="even" r:id="rId11"/>
      <w:footerReference w:type="default" r:id="rId12"/>
      <w:type w:val="continuous"/>
      <w:pgSz w:w="11906" w:h="16838"/>
      <w:pgMar w:top="1134" w:right="1418" w:bottom="1134" w:left="1701"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37ACC" w14:textId="77777777" w:rsidR="00C4071A" w:rsidRDefault="00C4071A">
      <w:r>
        <w:separator/>
      </w:r>
    </w:p>
  </w:endnote>
  <w:endnote w:type="continuationSeparator" w:id="0">
    <w:p w14:paraId="4011AF26" w14:textId="77777777" w:rsidR="00C4071A" w:rsidRDefault="00C4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2020603050405020304"/>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DD39D6" w:rsidRDefault="00DD39D6" w:rsidP="00AB4F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B78278" w14:textId="77777777" w:rsidR="00DD39D6" w:rsidRDefault="00DD39D6" w:rsidP="00D23C2E">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4E96" w14:textId="3DE1BACE" w:rsidR="00DD39D6" w:rsidRPr="001E6F01" w:rsidRDefault="00DD39D6" w:rsidP="00D515A4">
    <w:pPr>
      <w:pStyle w:val="Rodap"/>
      <w:framePr w:wrap="around" w:vAnchor="text" w:hAnchor="page" w:x="10426" w:y="339"/>
      <w:spacing w:after="40" w:line="240" w:lineRule="auto"/>
      <w:rPr>
        <w:rStyle w:val="Nmerodepgina"/>
        <w:rFonts w:ascii="Times New Roman" w:hAnsi="Times New Roman"/>
        <w:sz w:val="20"/>
        <w:szCs w:val="20"/>
      </w:rPr>
    </w:pPr>
  </w:p>
  <w:p w14:paraId="4DDBEF00" w14:textId="77777777" w:rsidR="00DD39D6" w:rsidRDefault="00DD39D6" w:rsidP="00D23C2E">
    <w:pPr>
      <w:pStyle w:val="Rodap"/>
      <w:spacing w:after="0" w:line="240" w:lineRule="auto"/>
      <w:ind w:right="360" w:firstLine="360"/>
      <w:jc w:val="center"/>
      <w:rPr>
        <w:rFonts w:ascii="Times New Roman" w:hAnsi="Times New Roman"/>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4169" w14:textId="77777777" w:rsidR="00C4071A" w:rsidRDefault="00C4071A">
      <w:r>
        <w:separator/>
      </w:r>
    </w:p>
  </w:footnote>
  <w:footnote w:type="continuationSeparator" w:id="0">
    <w:p w14:paraId="01E5E67B" w14:textId="77777777" w:rsidR="00C4071A" w:rsidRDefault="00C4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1FB"/>
    <w:multiLevelType w:val="multilevel"/>
    <w:tmpl w:val="74684114"/>
    <w:lvl w:ilvl="0">
      <w:start w:val="1"/>
      <w:numFmt w:val="decimal"/>
      <w:lvlText w:val="%1."/>
      <w:lvlJc w:val="left"/>
      <w:pPr>
        <w:ind w:left="360" w:hanging="360"/>
      </w:pPr>
      <w:rPr>
        <w:rFonts w:hint="default"/>
      </w:rPr>
    </w:lvl>
    <w:lvl w:ilvl="1">
      <w:start w:val="1"/>
      <w:numFmt w:val="decimal"/>
      <w:lvlText w:val="%1.%2."/>
      <w:lvlJc w:val="left"/>
      <w:pPr>
        <w:ind w:left="1250"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390" w:hanging="72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920" w:hanging="1800"/>
      </w:pPr>
      <w:rPr>
        <w:rFonts w:hint="default"/>
      </w:rPr>
    </w:lvl>
  </w:abstractNum>
  <w:abstractNum w:abstractNumId="1" w15:restartNumberingAfterBreak="0">
    <w:nsid w:val="0B4F1246"/>
    <w:multiLevelType w:val="hybridMultilevel"/>
    <w:tmpl w:val="80F251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13C76EB1"/>
    <w:multiLevelType w:val="hybridMultilevel"/>
    <w:tmpl w:val="5FBAFD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26E53"/>
    <w:multiLevelType w:val="hybridMultilevel"/>
    <w:tmpl w:val="8D5228DA"/>
    <w:lvl w:ilvl="0" w:tplc="0416000F">
      <w:start w:val="1"/>
      <w:numFmt w:val="decimal"/>
      <w:lvlText w:val="%1."/>
      <w:lvlJc w:val="left"/>
      <w:pPr>
        <w:tabs>
          <w:tab w:val="num" w:pos="1259"/>
        </w:tabs>
        <w:ind w:left="1259" w:hanging="360"/>
      </w:pPr>
    </w:lvl>
    <w:lvl w:ilvl="1" w:tplc="04160019" w:tentative="1">
      <w:start w:val="1"/>
      <w:numFmt w:val="lowerLetter"/>
      <w:lvlText w:val="%2."/>
      <w:lvlJc w:val="left"/>
      <w:pPr>
        <w:tabs>
          <w:tab w:val="num" w:pos="1979"/>
        </w:tabs>
        <w:ind w:left="1979" w:hanging="360"/>
      </w:pPr>
    </w:lvl>
    <w:lvl w:ilvl="2" w:tplc="0416001B" w:tentative="1">
      <w:start w:val="1"/>
      <w:numFmt w:val="lowerRoman"/>
      <w:lvlText w:val="%3."/>
      <w:lvlJc w:val="right"/>
      <w:pPr>
        <w:tabs>
          <w:tab w:val="num" w:pos="2699"/>
        </w:tabs>
        <w:ind w:left="2699" w:hanging="180"/>
      </w:pPr>
    </w:lvl>
    <w:lvl w:ilvl="3" w:tplc="0416000F" w:tentative="1">
      <w:start w:val="1"/>
      <w:numFmt w:val="decimal"/>
      <w:lvlText w:val="%4."/>
      <w:lvlJc w:val="left"/>
      <w:pPr>
        <w:tabs>
          <w:tab w:val="num" w:pos="3419"/>
        </w:tabs>
        <w:ind w:left="3419" w:hanging="360"/>
      </w:pPr>
    </w:lvl>
    <w:lvl w:ilvl="4" w:tplc="04160019" w:tentative="1">
      <w:start w:val="1"/>
      <w:numFmt w:val="lowerLetter"/>
      <w:lvlText w:val="%5."/>
      <w:lvlJc w:val="left"/>
      <w:pPr>
        <w:tabs>
          <w:tab w:val="num" w:pos="4139"/>
        </w:tabs>
        <w:ind w:left="4139" w:hanging="360"/>
      </w:pPr>
    </w:lvl>
    <w:lvl w:ilvl="5" w:tplc="0416001B" w:tentative="1">
      <w:start w:val="1"/>
      <w:numFmt w:val="lowerRoman"/>
      <w:lvlText w:val="%6."/>
      <w:lvlJc w:val="right"/>
      <w:pPr>
        <w:tabs>
          <w:tab w:val="num" w:pos="4859"/>
        </w:tabs>
        <w:ind w:left="4859" w:hanging="180"/>
      </w:pPr>
    </w:lvl>
    <w:lvl w:ilvl="6" w:tplc="0416000F" w:tentative="1">
      <w:start w:val="1"/>
      <w:numFmt w:val="decimal"/>
      <w:lvlText w:val="%7."/>
      <w:lvlJc w:val="left"/>
      <w:pPr>
        <w:tabs>
          <w:tab w:val="num" w:pos="5579"/>
        </w:tabs>
        <w:ind w:left="5579" w:hanging="360"/>
      </w:pPr>
    </w:lvl>
    <w:lvl w:ilvl="7" w:tplc="04160019" w:tentative="1">
      <w:start w:val="1"/>
      <w:numFmt w:val="lowerLetter"/>
      <w:lvlText w:val="%8."/>
      <w:lvlJc w:val="left"/>
      <w:pPr>
        <w:tabs>
          <w:tab w:val="num" w:pos="6299"/>
        </w:tabs>
        <w:ind w:left="6299" w:hanging="360"/>
      </w:pPr>
    </w:lvl>
    <w:lvl w:ilvl="8" w:tplc="0416001B" w:tentative="1">
      <w:start w:val="1"/>
      <w:numFmt w:val="lowerRoman"/>
      <w:lvlText w:val="%9."/>
      <w:lvlJc w:val="right"/>
      <w:pPr>
        <w:tabs>
          <w:tab w:val="num" w:pos="7019"/>
        </w:tabs>
        <w:ind w:left="7019" w:hanging="180"/>
      </w:pPr>
    </w:lvl>
  </w:abstractNum>
  <w:abstractNum w:abstractNumId="4" w15:restartNumberingAfterBreak="0">
    <w:nsid w:val="1DCA0ACC"/>
    <w:multiLevelType w:val="hybridMultilevel"/>
    <w:tmpl w:val="4A527A10"/>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6427D"/>
    <w:multiLevelType w:val="multilevel"/>
    <w:tmpl w:val="E9143458"/>
    <w:lvl w:ilvl="0">
      <w:start w:val="1"/>
      <w:numFmt w:val="decimal"/>
      <w:lvlText w:val="%1."/>
      <w:lvlJc w:val="left"/>
      <w:pPr>
        <w:tabs>
          <w:tab w:val="num" w:pos="890"/>
        </w:tabs>
        <w:ind w:left="890" w:hanging="360"/>
      </w:pPr>
      <w:rPr>
        <w:rFonts w:cs="Times New Roman"/>
      </w:rPr>
    </w:lvl>
    <w:lvl w:ilvl="1" w:tentative="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tentative="1">
      <w:start w:val="1"/>
      <w:numFmt w:val="lowerLetter"/>
      <w:lvlText w:val="%5."/>
      <w:lvlJc w:val="left"/>
      <w:pPr>
        <w:tabs>
          <w:tab w:val="num" w:pos="3770"/>
        </w:tabs>
        <w:ind w:left="3770" w:hanging="360"/>
      </w:pPr>
      <w:rPr>
        <w:rFonts w:cs="Times New Roman"/>
      </w:rPr>
    </w:lvl>
    <w:lvl w:ilvl="5" w:tentative="1">
      <w:start w:val="1"/>
      <w:numFmt w:val="lowerRoman"/>
      <w:lvlText w:val="%6."/>
      <w:lvlJc w:val="right"/>
      <w:pPr>
        <w:tabs>
          <w:tab w:val="num" w:pos="4490"/>
        </w:tabs>
        <w:ind w:left="4490" w:hanging="180"/>
      </w:pPr>
      <w:rPr>
        <w:rFonts w:cs="Times New Roman"/>
      </w:rPr>
    </w:lvl>
    <w:lvl w:ilvl="6" w:tentative="1">
      <w:start w:val="1"/>
      <w:numFmt w:val="decimal"/>
      <w:lvlText w:val="%7."/>
      <w:lvlJc w:val="left"/>
      <w:pPr>
        <w:tabs>
          <w:tab w:val="num" w:pos="5210"/>
        </w:tabs>
        <w:ind w:left="5210" w:hanging="360"/>
      </w:pPr>
      <w:rPr>
        <w:rFonts w:cs="Times New Roman"/>
      </w:rPr>
    </w:lvl>
    <w:lvl w:ilvl="7" w:tentative="1">
      <w:start w:val="1"/>
      <w:numFmt w:val="lowerLetter"/>
      <w:lvlText w:val="%8."/>
      <w:lvlJc w:val="left"/>
      <w:pPr>
        <w:tabs>
          <w:tab w:val="num" w:pos="5930"/>
        </w:tabs>
        <w:ind w:left="5930" w:hanging="360"/>
      </w:pPr>
      <w:rPr>
        <w:rFonts w:cs="Times New Roman"/>
      </w:rPr>
    </w:lvl>
    <w:lvl w:ilvl="8" w:tentative="1">
      <w:start w:val="1"/>
      <w:numFmt w:val="lowerRoman"/>
      <w:lvlText w:val="%9."/>
      <w:lvlJc w:val="right"/>
      <w:pPr>
        <w:tabs>
          <w:tab w:val="num" w:pos="6650"/>
        </w:tabs>
        <w:ind w:left="6650" w:hanging="180"/>
      </w:pPr>
      <w:rPr>
        <w:rFonts w:cs="Times New Roman"/>
      </w:rPr>
    </w:lvl>
  </w:abstractNum>
  <w:abstractNum w:abstractNumId="6" w15:restartNumberingAfterBreak="0">
    <w:nsid w:val="280F7C3D"/>
    <w:multiLevelType w:val="hybridMultilevel"/>
    <w:tmpl w:val="2944A2D0"/>
    <w:lvl w:ilvl="0" w:tplc="1966D702">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F61DEB"/>
    <w:multiLevelType w:val="multilevel"/>
    <w:tmpl w:val="F67EE9E2"/>
    <w:lvl w:ilvl="0">
      <w:start w:val="4"/>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0111DB2"/>
    <w:multiLevelType w:val="multilevel"/>
    <w:tmpl w:val="8D5228DA"/>
    <w:lvl w:ilvl="0">
      <w:start w:val="1"/>
      <w:numFmt w:val="decimal"/>
      <w:lvlText w:val="%1."/>
      <w:lvlJc w:val="left"/>
      <w:pPr>
        <w:tabs>
          <w:tab w:val="num" w:pos="1259"/>
        </w:tabs>
        <w:ind w:left="1259" w:hanging="360"/>
      </w:p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9" w15:restartNumberingAfterBreak="0">
    <w:nsid w:val="51B55B3C"/>
    <w:multiLevelType w:val="multilevel"/>
    <w:tmpl w:val="760AFC64"/>
    <w:lvl w:ilvl="0">
      <w:start w:val="1"/>
      <w:numFmt w:val="decimal"/>
      <w:lvlText w:val="%1."/>
      <w:lvlJc w:val="left"/>
      <w:pPr>
        <w:ind w:left="1800" w:hanging="360"/>
      </w:pPr>
      <w:rPr>
        <w:rFonts w:ascii="Arial" w:eastAsia="Times New Roman" w:hAnsi="Arial" w:cs="Arial"/>
        <w:sz w:val="24"/>
      </w:rPr>
    </w:lvl>
    <w:lvl w:ilvl="1">
      <w:start w:val="1"/>
      <w:numFmt w:val="decimal"/>
      <w:isLgl/>
      <w:lvlText w:val="%1.%2"/>
      <w:lvlJc w:val="left"/>
      <w:pPr>
        <w:ind w:left="2558" w:hanging="435"/>
      </w:pPr>
      <w:rPr>
        <w:rFonts w:cs="Times New Roman" w:hint="default"/>
      </w:rPr>
    </w:lvl>
    <w:lvl w:ilvl="2">
      <w:start w:val="1"/>
      <w:numFmt w:val="decimal"/>
      <w:isLgl/>
      <w:lvlText w:val="%1.%2.%3"/>
      <w:lvlJc w:val="left"/>
      <w:pPr>
        <w:ind w:left="3526" w:hanging="720"/>
      </w:pPr>
      <w:rPr>
        <w:rFonts w:cs="Times New Roman" w:hint="default"/>
      </w:rPr>
    </w:lvl>
    <w:lvl w:ilvl="3">
      <w:start w:val="1"/>
      <w:numFmt w:val="decimal"/>
      <w:isLgl/>
      <w:lvlText w:val="%1.%2.%3.%4"/>
      <w:lvlJc w:val="left"/>
      <w:pPr>
        <w:ind w:left="4569" w:hanging="1080"/>
      </w:pPr>
      <w:rPr>
        <w:rFonts w:cs="Times New Roman" w:hint="default"/>
      </w:rPr>
    </w:lvl>
    <w:lvl w:ilvl="4">
      <w:start w:val="1"/>
      <w:numFmt w:val="decimal"/>
      <w:isLgl/>
      <w:lvlText w:val="%1.%2.%3.%4.%5"/>
      <w:lvlJc w:val="left"/>
      <w:pPr>
        <w:ind w:left="5252" w:hanging="1080"/>
      </w:pPr>
      <w:rPr>
        <w:rFonts w:cs="Times New Roman" w:hint="default"/>
      </w:rPr>
    </w:lvl>
    <w:lvl w:ilvl="5">
      <w:start w:val="1"/>
      <w:numFmt w:val="decimal"/>
      <w:isLgl/>
      <w:lvlText w:val="%1.%2.%3.%4.%5.%6"/>
      <w:lvlJc w:val="left"/>
      <w:pPr>
        <w:ind w:left="6295" w:hanging="1440"/>
      </w:pPr>
      <w:rPr>
        <w:rFonts w:cs="Times New Roman" w:hint="default"/>
      </w:rPr>
    </w:lvl>
    <w:lvl w:ilvl="6">
      <w:start w:val="1"/>
      <w:numFmt w:val="decimal"/>
      <w:isLgl/>
      <w:lvlText w:val="%1.%2.%3.%4.%5.%6.%7"/>
      <w:lvlJc w:val="left"/>
      <w:pPr>
        <w:ind w:left="6978" w:hanging="1440"/>
      </w:pPr>
      <w:rPr>
        <w:rFonts w:cs="Times New Roman" w:hint="default"/>
      </w:rPr>
    </w:lvl>
    <w:lvl w:ilvl="7">
      <w:start w:val="1"/>
      <w:numFmt w:val="decimal"/>
      <w:isLgl/>
      <w:lvlText w:val="%1.%2.%3.%4.%5.%6.%7.%8"/>
      <w:lvlJc w:val="left"/>
      <w:pPr>
        <w:ind w:left="8021" w:hanging="1800"/>
      </w:pPr>
      <w:rPr>
        <w:rFonts w:cs="Times New Roman" w:hint="default"/>
      </w:rPr>
    </w:lvl>
    <w:lvl w:ilvl="8">
      <w:start w:val="1"/>
      <w:numFmt w:val="decimal"/>
      <w:isLgl/>
      <w:lvlText w:val="%1.%2.%3.%4.%5.%6.%7.%8.%9"/>
      <w:lvlJc w:val="left"/>
      <w:pPr>
        <w:ind w:left="8704" w:hanging="1800"/>
      </w:pPr>
      <w:rPr>
        <w:rFonts w:cs="Times New Roman" w:hint="default"/>
      </w:rPr>
    </w:lvl>
  </w:abstractNum>
  <w:abstractNum w:abstractNumId="10" w15:restartNumberingAfterBreak="0">
    <w:nsid w:val="549816FF"/>
    <w:multiLevelType w:val="multilevel"/>
    <w:tmpl w:val="760AFC64"/>
    <w:lvl w:ilvl="0">
      <w:start w:val="1"/>
      <w:numFmt w:val="decimal"/>
      <w:lvlText w:val="%1."/>
      <w:lvlJc w:val="left"/>
      <w:pPr>
        <w:ind w:left="1800" w:hanging="360"/>
      </w:pPr>
      <w:rPr>
        <w:rFonts w:ascii="Arial" w:eastAsia="Times New Roman" w:hAnsi="Arial" w:cs="Arial"/>
        <w:sz w:val="24"/>
      </w:rPr>
    </w:lvl>
    <w:lvl w:ilvl="1">
      <w:start w:val="1"/>
      <w:numFmt w:val="decimal"/>
      <w:isLgl/>
      <w:lvlText w:val="%1.%2"/>
      <w:lvlJc w:val="left"/>
      <w:pPr>
        <w:ind w:left="2558" w:hanging="435"/>
      </w:pPr>
      <w:rPr>
        <w:rFonts w:cs="Times New Roman" w:hint="default"/>
      </w:rPr>
    </w:lvl>
    <w:lvl w:ilvl="2">
      <w:start w:val="1"/>
      <w:numFmt w:val="decimal"/>
      <w:isLgl/>
      <w:lvlText w:val="%1.%2.%3"/>
      <w:lvlJc w:val="left"/>
      <w:pPr>
        <w:ind w:left="3526" w:hanging="720"/>
      </w:pPr>
      <w:rPr>
        <w:rFonts w:cs="Times New Roman" w:hint="default"/>
      </w:rPr>
    </w:lvl>
    <w:lvl w:ilvl="3">
      <w:start w:val="1"/>
      <w:numFmt w:val="decimal"/>
      <w:isLgl/>
      <w:lvlText w:val="%1.%2.%3.%4"/>
      <w:lvlJc w:val="left"/>
      <w:pPr>
        <w:ind w:left="4569" w:hanging="1080"/>
      </w:pPr>
      <w:rPr>
        <w:rFonts w:cs="Times New Roman" w:hint="default"/>
      </w:rPr>
    </w:lvl>
    <w:lvl w:ilvl="4">
      <w:start w:val="1"/>
      <w:numFmt w:val="decimal"/>
      <w:isLgl/>
      <w:lvlText w:val="%1.%2.%3.%4.%5"/>
      <w:lvlJc w:val="left"/>
      <w:pPr>
        <w:ind w:left="5252" w:hanging="1080"/>
      </w:pPr>
      <w:rPr>
        <w:rFonts w:cs="Times New Roman" w:hint="default"/>
      </w:rPr>
    </w:lvl>
    <w:lvl w:ilvl="5">
      <w:start w:val="1"/>
      <w:numFmt w:val="decimal"/>
      <w:isLgl/>
      <w:lvlText w:val="%1.%2.%3.%4.%5.%6"/>
      <w:lvlJc w:val="left"/>
      <w:pPr>
        <w:ind w:left="6295" w:hanging="1440"/>
      </w:pPr>
      <w:rPr>
        <w:rFonts w:cs="Times New Roman" w:hint="default"/>
      </w:rPr>
    </w:lvl>
    <w:lvl w:ilvl="6">
      <w:start w:val="1"/>
      <w:numFmt w:val="decimal"/>
      <w:isLgl/>
      <w:lvlText w:val="%1.%2.%3.%4.%5.%6.%7"/>
      <w:lvlJc w:val="left"/>
      <w:pPr>
        <w:ind w:left="6978" w:hanging="1440"/>
      </w:pPr>
      <w:rPr>
        <w:rFonts w:cs="Times New Roman" w:hint="default"/>
      </w:rPr>
    </w:lvl>
    <w:lvl w:ilvl="7">
      <w:start w:val="1"/>
      <w:numFmt w:val="decimal"/>
      <w:isLgl/>
      <w:lvlText w:val="%1.%2.%3.%4.%5.%6.%7.%8"/>
      <w:lvlJc w:val="left"/>
      <w:pPr>
        <w:ind w:left="8021" w:hanging="1800"/>
      </w:pPr>
      <w:rPr>
        <w:rFonts w:cs="Times New Roman" w:hint="default"/>
      </w:rPr>
    </w:lvl>
    <w:lvl w:ilvl="8">
      <w:start w:val="1"/>
      <w:numFmt w:val="decimal"/>
      <w:isLgl/>
      <w:lvlText w:val="%1.%2.%3.%4.%5.%6.%7.%8.%9"/>
      <w:lvlJc w:val="left"/>
      <w:pPr>
        <w:ind w:left="8704" w:hanging="1800"/>
      </w:pPr>
      <w:rPr>
        <w:rFonts w:cs="Times New Roman" w:hint="default"/>
      </w:rPr>
    </w:lvl>
  </w:abstractNum>
  <w:abstractNum w:abstractNumId="11" w15:restartNumberingAfterBreak="0">
    <w:nsid w:val="5CD81BE1"/>
    <w:multiLevelType w:val="multilevel"/>
    <w:tmpl w:val="760AFC64"/>
    <w:lvl w:ilvl="0">
      <w:start w:val="1"/>
      <w:numFmt w:val="decimal"/>
      <w:lvlText w:val="%1."/>
      <w:lvlJc w:val="left"/>
      <w:pPr>
        <w:ind w:left="1800" w:hanging="360"/>
      </w:pPr>
      <w:rPr>
        <w:rFonts w:ascii="Arial" w:eastAsia="Times New Roman" w:hAnsi="Arial" w:cs="Arial"/>
        <w:sz w:val="24"/>
      </w:rPr>
    </w:lvl>
    <w:lvl w:ilvl="1">
      <w:start w:val="1"/>
      <w:numFmt w:val="decimal"/>
      <w:isLgl/>
      <w:lvlText w:val="%1.%2"/>
      <w:lvlJc w:val="left"/>
      <w:pPr>
        <w:ind w:left="2558" w:hanging="435"/>
      </w:pPr>
      <w:rPr>
        <w:rFonts w:cs="Times New Roman" w:hint="default"/>
      </w:rPr>
    </w:lvl>
    <w:lvl w:ilvl="2">
      <w:start w:val="1"/>
      <w:numFmt w:val="decimal"/>
      <w:isLgl/>
      <w:lvlText w:val="%1.%2.%3"/>
      <w:lvlJc w:val="left"/>
      <w:pPr>
        <w:ind w:left="3526" w:hanging="720"/>
      </w:pPr>
      <w:rPr>
        <w:rFonts w:cs="Times New Roman" w:hint="default"/>
      </w:rPr>
    </w:lvl>
    <w:lvl w:ilvl="3">
      <w:start w:val="1"/>
      <w:numFmt w:val="decimal"/>
      <w:isLgl/>
      <w:lvlText w:val="%1.%2.%3.%4"/>
      <w:lvlJc w:val="left"/>
      <w:pPr>
        <w:ind w:left="4569" w:hanging="1080"/>
      </w:pPr>
      <w:rPr>
        <w:rFonts w:cs="Times New Roman" w:hint="default"/>
      </w:rPr>
    </w:lvl>
    <w:lvl w:ilvl="4">
      <w:start w:val="1"/>
      <w:numFmt w:val="decimal"/>
      <w:isLgl/>
      <w:lvlText w:val="%1.%2.%3.%4.%5"/>
      <w:lvlJc w:val="left"/>
      <w:pPr>
        <w:ind w:left="5252" w:hanging="1080"/>
      </w:pPr>
      <w:rPr>
        <w:rFonts w:cs="Times New Roman" w:hint="default"/>
      </w:rPr>
    </w:lvl>
    <w:lvl w:ilvl="5">
      <w:start w:val="1"/>
      <w:numFmt w:val="decimal"/>
      <w:isLgl/>
      <w:lvlText w:val="%1.%2.%3.%4.%5.%6"/>
      <w:lvlJc w:val="left"/>
      <w:pPr>
        <w:ind w:left="6295" w:hanging="1440"/>
      </w:pPr>
      <w:rPr>
        <w:rFonts w:cs="Times New Roman" w:hint="default"/>
      </w:rPr>
    </w:lvl>
    <w:lvl w:ilvl="6">
      <w:start w:val="1"/>
      <w:numFmt w:val="decimal"/>
      <w:isLgl/>
      <w:lvlText w:val="%1.%2.%3.%4.%5.%6.%7"/>
      <w:lvlJc w:val="left"/>
      <w:pPr>
        <w:ind w:left="6978" w:hanging="1440"/>
      </w:pPr>
      <w:rPr>
        <w:rFonts w:cs="Times New Roman" w:hint="default"/>
      </w:rPr>
    </w:lvl>
    <w:lvl w:ilvl="7">
      <w:start w:val="1"/>
      <w:numFmt w:val="decimal"/>
      <w:isLgl/>
      <w:lvlText w:val="%1.%2.%3.%4.%5.%6.%7.%8"/>
      <w:lvlJc w:val="left"/>
      <w:pPr>
        <w:ind w:left="8021" w:hanging="1800"/>
      </w:pPr>
      <w:rPr>
        <w:rFonts w:cs="Times New Roman" w:hint="default"/>
      </w:rPr>
    </w:lvl>
    <w:lvl w:ilvl="8">
      <w:start w:val="1"/>
      <w:numFmt w:val="decimal"/>
      <w:isLgl/>
      <w:lvlText w:val="%1.%2.%3.%4.%5.%6.%7.%8.%9"/>
      <w:lvlJc w:val="left"/>
      <w:pPr>
        <w:ind w:left="8704" w:hanging="1800"/>
      </w:pPr>
      <w:rPr>
        <w:rFonts w:cs="Times New Roman" w:hint="default"/>
      </w:rPr>
    </w:lvl>
  </w:abstractNum>
  <w:abstractNum w:abstractNumId="12" w15:restartNumberingAfterBreak="0">
    <w:nsid w:val="5ECF62B5"/>
    <w:multiLevelType w:val="multilevel"/>
    <w:tmpl w:val="760AFC64"/>
    <w:lvl w:ilvl="0">
      <w:start w:val="1"/>
      <w:numFmt w:val="decimal"/>
      <w:lvlText w:val="%1."/>
      <w:lvlJc w:val="left"/>
      <w:pPr>
        <w:ind w:left="1800" w:hanging="360"/>
      </w:pPr>
      <w:rPr>
        <w:rFonts w:ascii="Arial" w:eastAsia="Times New Roman" w:hAnsi="Arial" w:cs="Arial"/>
        <w:sz w:val="24"/>
      </w:rPr>
    </w:lvl>
    <w:lvl w:ilvl="1">
      <w:start w:val="1"/>
      <w:numFmt w:val="decimal"/>
      <w:isLgl/>
      <w:lvlText w:val="%1.%2"/>
      <w:lvlJc w:val="left"/>
      <w:pPr>
        <w:ind w:left="2558" w:hanging="435"/>
      </w:pPr>
      <w:rPr>
        <w:rFonts w:cs="Times New Roman" w:hint="default"/>
      </w:rPr>
    </w:lvl>
    <w:lvl w:ilvl="2">
      <w:start w:val="1"/>
      <w:numFmt w:val="decimal"/>
      <w:isLgl/>
      <w:lvlText w:val="%1.%2.%3"/>
      <w:lvlJc w:val="left"/>
      <w:pPr>
        <w:ind w:left="3526" w:hanging="720"/>
      </w:pPr>
      <w:rPr>
        <w:rFonts w:cs="Times New Roman" w:hint="default"/>
      </w:rPr>
    </w:lvl>
    <w:lvl w:ilvl="3">
      <w:start w:val="1"/>
      <w:numFmt w:val="decimal"/>
      <w:isLgl/>
      <w:lvlText w:val="%1.%2.%3.%4"/>
      <w:lvlJc w:val="left"/>
      <w:pPr>
        <w:ind w:left="4569" w:hanging="1080"/>
      </w:pPr>
      <w:rPr>
        <w:rFonts w:cs="Times New Roman" w:hint="default"/>
      </w:rPr>
    </w:lvl>
    <w:lvl w:ilvl="4">
      <w:start w:val="1"/>
      <w:numFmt w:val="decimal"/>
      <w:isLgl/>
      <w:lvlText w:val="%1.%2.%3.%4.%5"/>
      <w:lvlJc w:val="left"/>
      <w:pPr>
        <w:ind w:left="5252" w:hanging="1080"/>
      </w:pPr>
      <w:rPr>
        <w:rFonts w:cs="Times New Roman" w:hint="default"/>
      </w:rPr>
    </w:lvl>
    <w:lvl w:ilvl="5">
      <w:start w:val="1"/>
      <w:numFmt w:val="decimal"/>
      <w:isLgl/>
      <w:lvlText w:val="%1.%2.%3.%4.%5.%6"/>
      <w:lvlJc w:val="left"/>
      <w:pPr>
        <w:ind w:left="6295" w:hanging="1440"/>
      </w:pPr>
      <w:rPr>
        <w:rFonts w:cs="Times New Roman" w:hint="default"/>
      </w:rPr>
    </w:lvl>
    <w:lvl w:ilvl="6">
      <w:start w:val="1"/>
      <w:numFmt w:val="decimal"/>
      <w:isLgl/>
      <w:lvlText w:val="%1.%2.%3.%4.%5.%6.%7"/>
      <w:lvlJc w:val="left"/>
      <w:pPr>
        <w:ind w:left="6978" w:hanging="1440"/>
      </w:pPr>
      <w:rPr>
        <w:rFonts w:cs="Times New Roman" w:hint="default"/>
      </w:rPr>
    </w:lvl>
    <w:lvl w:ilvl="7">
      <w:start w:val="1"/>
      <w:numFmt w:val="decimal"/>
      <w:isLgl/>
      <w:lvlText w:val="%1.%2.%3.%4.%5.%6.%7.%8"/>
      <w:lvlJc w:val="left"/>
      <w:pPr>
        <w:ind w:left="8021" w:hanging="1800"/>
      </w:pPr>
      <w:rPr>
        <w:rFonts w:cs="Times New Roman" w:hint="default"/>
      </w:rPr>
    </w:lvl>
    <w:lvl w:ilvl="8">
      <w:start w:val="1"/>
      <w:numFmt w:val="decimal"/>
      <w:isLgl/>
      <w:lvlText w:val="%1.%2.%3.%4.%5.%6.%7.%8.%9"/>
      <w:lvlJc w:val="left"/>
      <w:pPr>
        <w:ind w:left="8704" w:hanging="1800"/>
      </w:pPr>
      <w:rPr>
        <w:rFonts w:cs="Times New Roman" w:hint="default"/>
      </w:rPr>
    </w:lvl>
  </w:abstractNum>
  <w:abstractNum w:abstractNumId="13" w15:restartNumberingAfterBreak="0">
    <w:nsid w:val="6B5A37B1"/>
    <w:multiLevelType w:val="multilevel"/>
    <w:tmpl w:val="760AFC64"/>
    <w:lvl w:ilvl="0">
      <w:start w:val="1"/>
      <w:numFmt w:val="decimal"/>
      <w:lvlText w:val="%1."/>
      <w:lvlJc w:val="left"/>
      <w:pPr>
        <w:ind w:left="1800" w:hanging="360"/>
      </w:pPr>
      <w:rPr>
        <w:rFonts w:ascii="Arial" w:eastAsia="Times New Roman" w:hAnsi="Arial" w:cs="Arial"/>
        <w:sz w:val="24"/>
      </w:rPr>
    </w:lvl>
    <w:lvl w:ilvl="1">
      <w:start w:val="1"/>
      <w:numFmt w:val="decimal"/>
      <w:isLgl/>
      <w:lvlText w:val="%1.%2"/>
      <w:lvlJc w:val="left"/>
      <w:pPr>
        <w:ind w:left="2558" w:hanging="435"/>
      </w:pPr>
      <w:rPr>
        <w:rFonts w:cs="Times New Roman" w:hint="default"/>
      </w:rPr>
    </w:lvl>
    <w:lvl w:ilvl="2">
      <w:start w:val="1"/>
      <w:numFmt w:val="decimal"/>
      <w:isLgl/>
      <w:lvlText w:val="%1.%2.%3"/>
      <w:lvlJc w:val="left"/>
      <w:pPr>
        <w:ind w:left="3526" w:hanging="720"/>
      </w:pPr>
      <w:rPr>
        <w:rFonts w:cs="Times New Roman" w:hint="default"/>
      </w:rPr>
    </w:lvl>
    <w:lvl w:ilvl="3">
      <w:start w:val="1"/>
      <w:numFmt w:val="decimal"/>
      <w:isLgl/>
      <w:lvlText w:val="%1.%2.%3.%4"/>
      <w:lvlJc w:val="left"/>
      <w:pPr>
        <w:ind w:left="4569" w:hanging="1080"/>
      </w:pPr>
      <w:rPr>
        <w:rFonts w:cs="Times New Roman" w:hint="default"/>
      </w:rPr>
    </w:lvl>
    <w:lvl w:ilvl="4">
      <w:start w:val="1"/>
      <w:numFmt w:val="decimal"/>
      <w:isLgl/>
      <w:lvlText w:val="%1.%2.%3.%4.%5"/>
      <w:lvlJc w:val="left"/>
      <w:pPr>
        <w:ind w:left="5252" w:hanging="1080"/>
      </w:pPr>
      <w:rPr>
        <w:rFonts w:cs="Times New Roman" w:hint="default"/>
      </w:rPr>
    </w:lvl>
    <w:lvl w:ilvl="5">
      <w:start w:val="1"/>
      <w:numFmt w:val="decimal"/>
      <w:isLgl/>
      <w:lvlText w:val="%1.%2.%3.%4.%5.%6"/>
      <w:lvlJc w:val="left"/>
      <w:pPr>
        <w:ind w:left="6295" w:hanging="1440"/>
      </w:pPr>
      <w:rPr>
        <w:rFonts w:cs="Times New Roman" w:hint="default"/>
      </w:rPr>
    </w:lvl>
    <w:lvl w:ilvl="6">
      <w:start w:val="1"/>
      <w:numFmt w:val="decimal"/>
      <w:isLgl/>
      <w:lvlText w:val="%1.%2.%3.%4.%5.%6.%7"/>
      <w:lvlJc w:val="left"/>
      <w:pPr>
        <w:ind w:left="6978" w:hanging="1440"/>
      </w:pPr>
      <w:rPr>
        <w:rFonts w:cs="Times New Roman" w:hint="default"/>
      </w:rPr>
    </w:lvl>
    <w:lvl w:ilvl="7">
      <w:start w:val="1"/>
      <w:numFmt w:val="decimal"/>
      <w:isLgl/>
      <w:lvlText w:val="%1.%2.%3.%4.%5.%6.%7.%8"/>
      <w:lvlJc w:val="left"/>
      <w:pPr>
        <w:ind w:left="8021" w:hanging="1800"/>
      </w:pPr>
      <w:rPr>
        <w:rFonts w:cs="Times New Roman" w:hint="default"/>
      </w:rPr>
    </w:lvl>
    <w:lvl w:ilvl="8">
      <w:start w:val="1"/>
      <w:numFmt w:val="decimal"/>
      <w:isLgl/>
      <w:lvlText w:val="%1.%2.%3.%4.%5.%6.%7.%8.%9"/>
      <w:lvlJc w:val="left"/>
      <w:pPr>
        <w:ind w:left="8704" w:hanging="1800"/>
      </w:pPr>
      <w:rPr>
        <w:rFonts w:cs="Times New Roman" w:hint="default"/>
      </w:rPr>
    </w:lvl>
  </w:abstractNum>
  <w:abstractNum w:abstractNumId="14" w15:restartNumberingAfterBreak="0">
    <w:nsid w:val="6BB96490"/>
    <w:multiLevelType w:val="hybridMultilevel"/>
    <w:tmpl w:val="3E580C88"/>
    <w:lvl w:ilvl="0" w:tplc="04160017">
      <w:start w:val="1"/>
      <w:numFmt w:val="lowerLetter"/>
      <w:lvlText w:val="%1)"/>
      <w:lvlJc w:val="left"/>
      <w:pPr>
        <w:ind w:left="720" w:hanging="360"/>
      </w:pPr>
      <w:rPr>
        <w:rFonts w:cs="Times New Roman" w:hint="default"/>
      </w:rPr>
    </w:lvl>
    <w:lvl w:ilvl="1" w:tplc="0416000F">
      <w:start w:val="1"/>
      <w:numFmt w:val="decimal"/>
      <w:lvlText w:val="%2."/>
      <w:lvlJc w:val="left"/>
      <w:pPr>
        <w:tabs>
          <w:tab w:val="num" w:pos="1440"/>
        </w:tabs>
        <w:ind w:left="1440"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E1E3B02"/>
    <w:multiLevelType w:val="hybridMultilevel"/>
    <w:tmpl w:val="EE8E7A4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3FA0F5E"/>
    <w:multiLevelType w:val="multilevel"/>
    <w:tmpl w:val="39CCC542"/>
    <w:lvl w:ilvl="0">
      <w:start w:val="1"/>
      <w:numFmt w:val="decimal"/>
      <w:pStyle w:val="Ttulo1"/>
      <w:lvlText w:val="%1"/>
      <w:lvlJc w:val="left"/>
      <w:pPr>
        <w:ind w:left="786" w:hanging="360"/>
      </w:pPr>
      <w:rPr>
        <w:rFonts w:cs="Times New Roman" w:hint="default"/>
      </w:rPr>
    </w:lvl>
    <w:lvl w:ilvl="1">
      <w:start w:val="1"/>
      <w:numFmt w:val="decimal"/>
      <w:pStyle w:val="Ttulo2"/>
      <w:lvlText w:val="%1.%2"/>
      <w:lvlJc w:val="left"/>
      <w:pPr>
        <w:ind w:left="3979" w:hanging="576"/>
      </w:pPr>
      <w:rPr>
        <w:rFonts w:cs="Times New Roman" w:hint="default"/>
      </w:rPr>
    </w:lvl>
    <w:lvl w:ilvl="2">
      <w:start w:val="1"/>
      <w:numFmt w:val="decimal"/>
      <w:pStyle w:val="Ttulo3"/>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763348A0"/>
    <w:multiLevelType w:val="hybridMultilevel"/>
    <w:tmpl w:val="21F62EDA"/>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u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79DA7902"/>
    <w:multiLevelType w:val="hybridMultilevel"/>
    <w:tmpl w:val="A99A1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566BC0"/>
    <w:multiLevelType w:val="multilevel"/>
    <w:tmpl w:val="6714D3E6"/>
    <w:lvl w:ilvl="0">
      <w:start w:val="7"/>
      <w:numFmt w:val="decimalZero"/>
      <w:lvlText w:val="%1-"/>
      <w:lvlJc w:val="left"/>
      <w:pPr>
        <w:tabs>
          <w:tab w:val="num" w:pos="1830"/>
        </w:tabs>
        <w:ind w:left="1830" w:hanging="390"/>
      </w:pPr>
      <w:rPr>
        <w:rFonts w:hint="default"/>
        <w:sz w:val="24"/>
      </w:rPr>
    </w:lvl>
    <w:lvl w:ilvl="1">
      <w:start w:val="1"/>
      <w:numFmt w:val="decimal"/>
      <w:isLgl/>
      <w:lvlText w:val="%1.%2"/>
      <w:lvlJc w:val="left"/>
      <w:pPr>
        <w:ind w:left="2558" w:hanging="435"/>
      </w:pPr>
      <w:rPr>
        <w:rFonts w:cs="Times New Roman" w:hint="default"/>
      </w:rPr>
    </w:lvl>
    <w:lvl w:ilvl="2">
      <w:start w:val="1"/>
      <w:numFmt w:val="decimal"/>
      <w:isLgl/>
      <w:lvlText w:val="%1.%2.%3"/>
      <w:lvlJc w:val="left"/>
      <w:pPr>
        <w:ind w:left="3526" w:hanging="720"/>
      </w:pPr>
      <w:rPr>
        <w:rFonts w:cs="Times New Roman" w:hint="default"/>
      </w:rPr>
    </w:lvl>
    <w:lvl w:ilvl="3">
      <w:start w:val="1"/>
      <w:numFmt w:val="decimal"/>
      <w:isLgl/>
      <w:lvlText w:val="%1.%2.%3.%4"/>
      <w:lvlJc w:val="left"/>
      <w:pPr>
        <w:ind w:left="4569" w:hanging="1080"/>
      </w:pPr>
      <w:rPr>
        <w:rFonts w:cs="Times New Roman" w:hint="default"/>
      </w:rPr>
    </w:lvl>
    <w:lvl w:ilvl="4">
      <w:start w:val="1"/>
      <w:numFmt w:val="decimal"/>
      <w:isLgl/>
      <w:lvlText w:val="%1.%2.%3.%4.%5"/>
      <w:lvlJc w:val="left"/>
      <w:pPr>
        <w:ind w:left="5252" w:hanging="1080"/>
      </w:pPr>
      <w:rPr>
        <w:rFonts w:cs="Times New Roman" w:hint="default"/>
      </w:rPr>
    </w:lvl>
    <w:lvl w:ilvl="5">
      <w:start w:val="1"/>
      <w:numFmt w:val="decimal"/>
      <w:isLgl/>
      <w:lvlText w:val="%1.%2.%3.%4.%5.%6"/>
      <w:lvlJc w:val="left"/>
      <w:pPr>
        <w:ind w:left="6295" w:hanging="1440"/>
      </w:pPr>
      <w:rPr>
        <w:rFonts w:cs="Times New Roman" w:hint="default"/>
      </w:rPr>
    </w:lvl>
    <w:lvl w:ilvl="6">
      <w:start w:val="1"/>
      <w:numFmt w:val="decimal"/>
      <w:isLgl/>
      <w:lvlText w:val="%1.%2.%3.%4.%5.%6.%7"/>
      <w:lvlJc w:val="left"/>
      <w:pPr>
        <w:ind w:left="6978" w:hanging="1440"/>
      </w:pPr>
      <w:rPr>
        <w:rFonts w:cs="Times New Roman" w:hint="default"/>
      </w:rPr>
    </w:lvl>
    <w:lvl w:ilvl="7">
      <w:start w:val="1"/>
      <w:numFmt w:val="decimal"/>
      <w:isLgl/>
      <w:lvlText w:val="%1.%2.%3.%4.%5.%6.%7.%8"/>
      <w:lvlJc w:val="left"/>
      <w:pPr>
        <w:ind w:left="8021" w:hanging="1800"/>
      </w:pPr>
      <w:rPr>
        <w:rFonts w:cs="Times New Roman" w:hint="default"/>
      </w:rPr>
    </w:lvl>
    <w:lvl w:ilvl="8">
      <w:start w:val="1"/>
      <w:numFmt w:val="decimal"/>
      <w:isLgl/>
      <w:lvlText w:val="%1.%2.%3.%4.%5.%6.%7.%8.%9"/>
      <w:lvlJc w:val="left"/>
      <w:pPr>
        <w:ind w:left="8704" w:hanging="1800"/>
      </w:pPr>
      <w:rPr>
        <w:rFonts w:cs="Times New Roman" w:hint="default"/>
      </w:rPr>
    </w:lvl>
  </w:abstractNum>
  <w:abstractNum w:abstractNumId="20" w15:restartNumberingAfterBreak="0">
    <w:nsid w:val="7C2D0EA4"/>
    <w:multiLevelType w:val="multilevel"/>
    <w:tmpl w:val="760AFC64"/>
    <w:lvl w:ilvl="0">
      <w:start w:val="1"/>
      <w:numFmt w:val="decimal"/>
      <w:lvlText w:val="%1."/>
      <w:lvlJc w:val="left"/>
      <w:pPr>
        <w:ind w:left="1800" w:hanging="360"/>
      </w:pPr>
      <w:rPr>
        <w:rFonts w:ascii="Arial" w:eastAsia="Times New Roman" w:hAnsi="Arial" w:cs="Arial"/>
        <w:sz w:val="24"/>
      </w:rPr>
    </w:lvl>
    <w:lvl w:ilvl="1">
      <w:start w:val="1"/>
      <w:numFmt w:val="decimal"/>
      <w:isLgl/>
      <w:lvlText w:val="%1.%2"/>
      <w:lvlJc w:val="left"/>
      <w:pPr>
        <w:ind w:left="2558" w:hanging="435"/>
      </w:pPr>
      <w:rPr>
        <w:rFonts w:cs="Times New Roman" w:hint="default"/>
      </w:rPr>
    </w:lvl>
    <w:lvl w:ilvl="2">
      <w:start w:val="1"/>
      <w:numFmt w:val="decimal"/>
      <w:isLgl/>
      <w:lvlText w:val="%1.%2.%3"/>
      <w:lvlJc w:val="left"/>
      <w:pPr>
        <w:ind w:left="3526" w:hanging="720"/>
      </w:pPr>
      <w:rPr>
        <w:rFonts w:cs="Times New Roman" w:hint="default"/>
      </w:rPr>
    </w:lvl>
    <w:lvl w:ilvl="3">
      <w:start w:val="1"/>
      <w:numFmt w:val="decimal"/>
      <w:isLgl/>
      <w:lvlText w:val="%1.%2.%3.%4"/>
      <w:lvlJc w:val="left"/>
      <w:pPr>
        <w:ind w:left="4569" w:hanging="1080"/>
      </w:pPr>
      <w:rPr>
        <w:rFonts w:cs="Times New Roman" w:hint="default"/>
      </w:rPr>
    </w:lvl>
    <w:lvl w:ilvl="4">
      <w:start w:val="1"/>
      <w:numFmt w:val="decimal"/>
      <w:isLgl/>
      <w:lvlText w:val="%1.%2.%3.%4.%5"/>
      <w:lvlJc w:val="left"/>
      <w:pPr>
        <w:ind w:left="5252" w:hanging="1080"/>
      </w:pPr>
      <w:rPr>
        <w:rFonts w:cs="Times New Roman" w:hint="default"/>
      </w:rPr>
    </w:lvl>
    <w:lvl w:ilvl="5">
      <w:start w:val="1"/>
      <w:numFmt w:val="decimal"/>
      <w:isLgl/>
      <w:lvlText w:val="%1.%2.%3.%4.%5.%6"/>
      <w:lvlJc w:val="left"/>
      <w:pPr>
        <w:ind w:left="6295" w:hanging="1440"/>
      </w:pPr>
      <w:rPr>
        <w:rFonts w:cs="Times New Roman" w:hint="default"/>
      </w:rPr>
    </w:lvl>
    <w:lvl w:ilvl="6">
      <w:start w:val="1"/>
      <w:numFmt w:val="decimal"/>
      <w:isLgl/>
      <w:lvlText w:val="%1.%2.%3.%4.%5.%6.%7"/>
      <w:lvlJc w:val="left"/>
      <w:pPr>
        <w:ind w:left="6978" w:hanging="1440"/>
      </w:pPr>
      <w:rPr>
        <w:rFonts w:cs="Times New Roman" w:hint="default"/>
      </w:rPr>
    </w:lvl>
    <w:lvl w:ilvl="7">
      <w:start w:val="1"/>
      <w:numFmt w:val="decimal"/>
      <w:isLgl/>
      <w:lvlText w:val="%1.%2.%3.%4.%5.%6.%7.%8"/>
      <w:lvlJc w:val="left"/>
      <w:pPr>
        <w:ind w:left="8021" w:hanging="1800"/>
      </w:pPr>
      <w:rPr>
        <w:rFonts w:cs="Times New Roman" w:hint="default"/>
      </w:rPr>
    </w:lvl>
    <w:lvl w:ilvl="8">
      <w:start w:val="1"/>
      <w:numFmt w:val="decimal"/>
      <w:isLgl/>
      <w:lvlText w:val="%1.%2.%3.%4.%5.%6.%7.%8.%9"/>
      <w:lvlJc w:val="left"/>
      <w:pPr>
        <w:ind w:left="8704" w:hanging="1800"/>
      </w:pPr>
      <w:rPr>
        <w:rFonts w:cs="Times New Roman" w:hint="default"/>
      </w:rPr>
    </w:lvl>
  </w:abstractNum>
  <w:num w:numId="1">
    <w:abstractNumId w:val="16"/>
  </w:num>
  <w:num w:numId="2">
    <w:abstractNumId w:val="17"/>
  </w:num>
  <w:num w:numId="3">
    <w:abstractNumId w:val="5"/>
  </w:num>
  <w:num w:numId="4">
    <w:abstractNumId w:val="4"/>
  </w:num>
  <w:num w:numId="5">
    <w:abstractNumId w:val="11"/>
  </w:num>
  <w:num w:numId="6">
    <w:abstractNumId w:val="20"/>
  </w:num>
  <w:num w:numId="7">
    <w:abstractNumId w:val="9"/>
  </w:num>
  <w:num w:numId="8">
    <w:abstractNumId w:val="10"/>
  </w:num>
  <w:num w:numId="9">
    <w:abstractNumId w:val="12"/>
  </w:num>
  <w:num w:numId="10">
    <w:abstractNumId w:val="19"/>
  </w:num>
  <w:num w:numId="11">
    <w:abstractNumId w:val="13"/>
  </w:num>
  <w:num w:numId="12">
    <w:abstractNumId w:val="3"/>
  </w:num>
  <w:num w:numId="13">
    <w:abstractNumId w:val="8"/>
  </w:num>
  <w:num w:numId="14">
    <w:abstractNumId w:val="7"/>
  </w:num>
  <w:num w:numId="15">
    <w:abstractNumId w:val="2"/>
  </w:num>
  <w:num w:numId="16">
    <w:abstractNumId w:val="14"/>
  </w:num>
  <w:num w:numId="17">
    <w:abstractNumId w:val="0"/>
  </w:num>
  <w:num w:numId="18">
    <w:abstractNumId w:val="15"/>
  </w:num>
  <w:num w:numId="19">
    <w:abstractNumId w:val="6"/>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E8"/>
    <w:rsid w:val="000000E7"/>
    <w:rsid w:val="000011D0"/>
    <w:rsid w:val="00002005"/>
    <w:rsid w:val="00003976"/>
    <w:rsid w:val="00005EE2"/>
    <w:rsid w:val="000063B9"/>
    <w:rsid w:val="00012824"/>
    <w:rsid w:val="00014BDE"/>
    <w:rsid w:val="000159D5"/>
    <w:rsid w:val="0002230A"/>
    <w:rsid w:val="000239C5"/>
    <w:rsid w:val="00025973"/>
    <w:rsid w:val="00042BDE"/>
    <w:rsid w:val="00043E46"/>
    <w:rsid w:val="00045865"/>
    <w:rsid w:val="000461AB"/>
    <w:rsid w:val="00052AA5"/>
    <w:rsid w:val="000533D4"/>
    <w:rsid w:val="00053457"/>
    <w:rsid w:val="00053F9D"/>
    <w:rsid w:val="00054AEF"/>
    <w:rsid w:val="00062A9E"/>
    <w:rsid w:val="0006669B"/>
    <w:rsid w:val="00076993"/>
    <w:rsid w:val="00091794"/>
    <w:rsid w:val="00092A74"/>
    <w:rsid w:val="00092CA9"/>
    <w:rsid w:val="00095C27"/>
    <w:rsid w:val="000A081C"/>
    <w:rsid w:val="000A2DFB"/>
    <w:rsid w:val="000A2EC2"/>
    <w:rsid w:val="000A3B04"/>
    <w:rsid w:val="000A3BD8"/>
    <w:rsid w:val="000A424C"/>
    <w:rsid w:val="000B08C4"/>
    <w:rsid w:val="000B10FA"/>
    <w:rsid w:val="000B1581"/>
    <w:rsid w:val="000B447B"/>
    <w:rsid w:val="000B4651"/>
    <w:rsid w:val="000C3177"/>
    <w:rsid w:val="000D007D"/>
    <w:rsid w:val="000D3955"/>
    <w:rsid w:val="000D7D20"/>
    <w:rsid w:val="000E683E"/>
    <w:rsid w:val="000F1E27"/>
    <w:rsid w:val="000F430F"/>
    <w:rsid w:val="000F565C"/>
    <w:rsid w:val="001006D8"/>
    <w:rsid w:val="00100776"/>
    <w:rsid w:val="001016D8"/>
    <w:rsid w:val="00101B4D"/>
    <w:rsid w:val="0011630D"/>
    <w:rsid w:val="001202EE"/>
    <w:rsid w:val="00121D96"/>
    <w:rsid w:val="00122BD8"/>
    <w:rsid w:val="00125974"/>
    <w:rsid w:val="00130DDC"/>
    <w:rsid w:val="00130FCE"/>
    <w:rsid w:val="001316B2"/>
    <w:rsid w:val="0013443E"/>
    <w:rsid w:val="001366D7"/>
    <w:rsid w:val="001372BD"/>
    <w:rsid w:val="00143036"/>
    <w:rsid w:val="00150E0E"/>
    <w:rsid w:val="0015381E"/>
    <w:rsid w:val="001538A5"/>
    <w:rsid w:val="001538EA"/>
    <w:rsid w:val="00154D57"/>
    <w:rsid w:val="001730C7"/>
    <w:rsid w:val="00175205"/>
    <w:rsid w:val="0017692E"/>
    <w:rsid w:val="00182FD6"/>
    <w:rsid w:val="00187308"/>
    <w:rsid w:val="00193C5A"/>
    <w:rsid w:val="00193F53"/>
    <w:rsid w:val="0019453E"/>
    <w:rsid w:val="001951FF"/>
    <w:rsid w:val="001968AC"/>
    <w:rsid w:val="00196F5E"/>
    <w:rsid w:val="001A0970"/>
    <w:rsid w:val="001A2901"/>
    <w:rsid w:val="001A38FE"/>
    <w:rsid w:val="001A4D15"/>
    <w:rsid w:val="001A6FC7"/>
    <w:rsid w:val="001B003C"/>
    <w:rsid w:val="001B2947"/>
    <w:rsid w:val="001B4A30"/>
    <w:rsid w:val="001C615A"/>
    <w:rsid w:val="001C63A4"/>
    <w:rsid w:val="001D6066"/>
    <w:rsid w:val="001D6CED"/>
    <w:rsid w:val="001D7B92"/>
    <w:rsid w:val="001E0AD8"/>
    <w:rsid w:val="001E1C8C"/>
    <w:rsid w:val="001E1DD2"/>
    <w:rsid w:val="001E3E73"/>
    <w:rsid w:val="001E6F01"/>
    <w:rsid w:val="001F02E7"/>
    <w:rsid w:val="001F0837"/>
    <w:rsid w:val="001F272E"/>
    <w:rsid w:val="00200268"/>
    <w:rsid w:val="00201EC8"/>
    <w:rsid w:val="002068C6"/>
    <w:rsid w:val="00212417"/>
    <w:rsid w:val="00216446"/>
    <w:rsid w:val="00220D6A"/>
    <w:rsid w:val="002218A9"/>
    <w:rsid w:val="00223C7C"/>
    <w:rsid w:val="00224921"/>
    <w:rsid w:val="002249CC"/>
    <w:rsid w:val="00225227"/>
    <w:rsid w:val="0023153C"/>
    <w:rsid w:val="00234AC7"/>
    <w:rsid w:val="00237BE9"/>
    <w:rsid w:val="00240445"/>
    <w:rsid w:val="00243B87"/>
    <w:rsid w:val="00247FB6"/>
    <w:rsid w:val="00251D2E"/>
    <w:rsid w:val="0025304A"/>
    <w:rsid w:val="00257160"/>
    <w:rsid w:val="00257A6F"/>
    <w:rsid w:val="00257C05"/>
    <w:rsid w:val="00262AE5"/>
    <w:rsid w:val="00263C6B"/>
    <w:rsid w:val="00264604"/>
    <w:rsid w:val="002653C0"/>
    <w:rsid w:val="002801F2"/>
    <w:rsid w:val="00291ED2"/>
    <w:rsid w:val="002928E5"/>
    <w:rsid w:val="00293F11"/>
    <w:rsid w:val="00297314"/>
    <w:rsid w:val="002A09DC"/>
    <w:rsid w:val="002A0EFA"/>
    <w:rsid w:val="002A10A3"/>
    <w:rsid w:val="002A2FA1"/>
    <w:rsid w:val="002A51D9"/>
    <w:rsid w:val="002A57BF"/>
    <w:rsid w:val="002A6024"/>
    <w:rsid w:val="002A7170"/>
    <w:rsid w:val="002B0482"/>
    <w:rsid w:val="002B0B52"/>
    <w:rsid w:val="002B5A94"/>
    <w:rsid w:val="002B67BF"/>
    <w:rsid w:val="002C10D5"/>
    <w:rsid w:val="002C240F"/>
    <w:rsid w:val="002C7E7A"/>
    <w:rsid w:val="002D04CC"/>
    <w:rsid w:val="002D1D4D"/>
    <w:rsid w:val="002D22A4"/>
    <w:rsid w:val="002D48D5"/>
    <w:rsid w:val="002D491F"/>
    <w:rsid w:val="002D4DFD"/>
    <w:rsid w:val="002D4EAC"/>
    <w:rsid w:val="002E40AD"/>
    <w:rsid w:val="002E44F7"/>
    <w:rsid w:val="002F08A2"/>
    <w:rsid w:val="002F0D39"/>
    <w:rsid w:val="002F28C5"/>
    <w:rsid w:val="002F2BD6"/>
    <w:rsid w:val="002F3248"/>
    <w:rsid w:val="002F4946"/>
    <w:rsid w:val="002F729F"/>
    <w:rsid w:val="0030292D"/>
    <w:rsid w:val="00305D16"/>
    <w:rsid w:val="003062F9"/>
    <w:rsid w:val="003070DA"/>
    <w:rsid w:val="00311142"/>
    <w:rsid w:val="00311623"/>
    <w:rsid w:val="0031381B"/>
    <w:rsid w:val="00314E8B"/>
    <w:rsid w:val="003240FA"/>
    <w:rsid w:val="00324F67"/>
    <w:rsid w:val="0032550E"/>
    <w:rsid w:val="003343BB"/>
    <w:rsid w:val="00334CF3"/>
    <w:rsid w:val="003365C0"/>
    <w:rsid w:val="0034141D"/>
    <w:rsid w:val="003438F3"/>
    <w:rsid w:val="00344F16"/>
    <w:rsid w:val="00346F68"/>
    <w:rsid w:val="003509E0"/>
    <w:rsid w:val="00351900"/>
    <w:rsid w:val="00353B4A"/>
    <w:rsid w:val="003562CE"/>
    <w:rsid w:val="00357309"/>
    <w:rsid w:val="003626B7"/>
    <w:rsid w:val="00365D65"/>
    <w:rsid w:val="00373B49"/>
    <w:rsid w:val="0038310B"/>
    <w:rsid w:val="003840F5"/>
    <w:rsid w:val="00391690"/>
    <w:rsid w:val="00392C12"/>
    <w:rsid w:val="00392C34"/>
    <w:rsid w:val="00393F73"/>
    <w:rsid w:val="003A105A"/>
    <w:rsid w:val="003A15E2"/>
    <w:rsid w:val="003A6337"/>
    <w:rsid w:val="003B0BF0"/>
    <w:rsid w:val="003B119A"/>
    <w:rsid w:val="003B11E6"/>
    <w:rsid w:val="003B2368"/>
    <w:rsid w:val="003B2A3E"/>
    <w:rsid w:val="003C46F4"/>
    <w:rsid w:val="003C4D62"/>
    <w:rsid w:val="003D20D2"/>
    <w:rsid w:val="003D3216"/>
    <w:rsid w:val="003D323E"/>
    <w:rsid w:val="003D33DF"/>
    <w:rsid w:val="003D3FDA"/>
    <w:rsid w:val="003D48DB"/>
    <w:rsid w:val="003E11C8"/>
    <w:rsid w:val="003E3249"/>
    <w:rsid w:val="003E3E74"/>
    <w:rsid w:val="003E5D1C"/>
    <w:rsid w:val="003E7CC3"/>
    <w:rsid w:val="003F1486"/>
    <w:rsid w:val="003F1EC8"/>
    <w:rsid w:val="003F30F2"/>
    <w:rsid w:val="003F4BAB"/>
    <w:rsid w:val="003F64D2"/>
    <w:rsid w:val="003F7AA1"/>
    <w:rsid w:val="0040399B"/>
    <w:rsid w:val="00404EFD"/>
    <w:rsid w:val="00406BE0"/>
    <w:rsid w:val="00407A56"/>
    <w:rsid w:val="00407BE8"/>
    <w:rsid w:val="004118BF"/>
    <w:rsid w:val="00415D7E"/>
    <w:rsid w:val="00416546"/>
    <w:rsid w:val="00417E9F"/>
    <w:rsid w:val="00423E0F"/>
    <w:rsid w:val="00424074"/>
    <w:rsid w:val="00424B02"/>
    <w:rsid w:val="004276BF"/>
    <w:rsid w:val="00432AD1"/>
    <w:rsid w:val="00433D4B"/>
    <w:rsid w:val="004347AE"/>
    <w:rsid w:val="00435278"/>
    <w:rsid w:val="00436090"/>
    <w:rsid w:val="00440822"/>
    <w:rsid w:val="0044461B"/>
    <w:rsid w:val="00451440"/>
    <w:rsid w:val="00454768"/>
    <w:rsid w:val="0046141C"/>
    <w:rsid w:val="00463C8C"/>
    <w:rsid w:val="00466364"/>
    <w:rsid w:val="00470ECA"/>
    <w:rsid w:val="00471CE6"/>
    <w:rsid w:val="00473718"/>
    <w:rsid w:val="004751F2"/>
    <w:rsid w:val="00475872"/>
    <w:rsid w:val="00477DB2"/>
    <w:rsid w:val="00486EC7"/>
    <w:rsid w:val="0049450F"/>
    <w:rsid w:val="004A0E45"/>
    <w:rsid w:val="004A1742"/>
    <w:rsid w:val="004A66BB"/>
    <w:rsid w:val="004B0175"/>
    <w:rsid w:val="004B253B"/>
    <w:rsid w:val="004B2C5B"/>
    <w:rsid w:val="004B2E60"/>
    <w:rsid w:val="004B387C"/>
    <w:rsid w:val="004B72EB"/>
    <w:rsid w:val="004C2A98"/>
    <w:rsid w:val="004C3435"/>
    <w:rsid w:val="004C42F6"/>
    <w:rsid w:val="004C5E87"/>
    <w:rsid w:val="004C753C"/>
    <w:rsid w:val="004D29D2"/>
    <w:rsid w:val="004D2F11"/>
    <w:rsid w:val="004E1260"/>
    <w:rsid w:val="004E1913"/>
    <w:rsid w:val="004E68B8"/>
    <w:rsid w:val="004F0C53"/>
    <w:rsid w:val="004F46AE"/>
    <w:rsid w:val="00500ADD"/>
    <w:rsid w:val="00500C4E"/>
    <w:rsid w:val="00507EEE"/>
    <w:rsid w:val="005106EE"/>
    <w:rsid w:val="005150C9"/>
    <w:rsid w:val="00522D40"/>
    <w:rsid w:val="00525066"/>
    <w:rsid w:val="00525171"/>
    <w:rsid w:val="0052601E"/>
    <w:rsid w:val="005303CD"/>
    <w:rsid w:val="00531E32"/>
    <w:rsid w:val="00536F78"/>
    <w:rsid w:val="00540248"/>
    <w:rsid w:val="005443E1"/>
    <w:rsid w:val="00547B10"/>
    <w:rsid w:val="00560071"/>
    <w:rsid w:val="00560852"/>
    <w:rsid w:val="0056336F"/>
    <w:rsid w:val="00565B88"/>
    <w:rsid w:val="0056737D"/>
    <w:rsid w:val="005673C9"/>
    <w:rsid w:val="00567CA1"/>
    <w:rsid w:val="00570F73"/>
    <w:rsid w:val="00571899"/>
    <w:rsid w:val="005754D1"/>
    <w:rsid w:val="0058045A"/>
    <w:rsid w:val="00584EB0"/>
    <w:rsid w:val="00587945"/>
    <w:rsid w:val="00587CBE"/>
    <w:rsid w:val="00596308"/>
    <w:rsid w:val="005A0349"/>
    <w:rsid w:val="005A0BBF"/>
    <w:rsid w:val="005A1415"/>
    <w:rsid w:val="005A2083"/>
    <w:rsid w:val="005A59FF"/>
    <w:rsid w:val="005B0C5B"/>
    <w:rsid w:val="005B3830"/>
    <w:rsid w:val="005B46C5"/>
    <w:rsid w:val="005B7B2F"/>
    <w:rsid w:val="005C2337"/>
    <w:rsid w:val="005C62FF"/>
    <w:rsid w:val="005C6923"/>
    <w:rsid w:val="005C6D49"/>
    <w:rsid w:val="005D0848"/>
    <w:rsid w:val="005D0E38"/>
    <w:rsid w:val="005D5420"/>
    <w:rsid w:val="005D573D"/>
    <w:rsid w:val="005E1C24"/>
    <w:rsid w:val="005E3327"/>
    <w:rsid w:val="005E6542"/>
    <w:rsid w:val="005E7CEA"/>
    <w:rsid w:val="005F0118"/>
    <w:rsid w:val="005F2BBA"/>
    <w:rsid w:val="005F2BE6"/>
    <w:rsid w:val="005F6A22"/>
    <w:rsid w:val="00600E5C"/>
    <w:rsid w:val="00602E41"/>
    <w:rsid w:val="00604799"/>
    <w:rsid w:val="0060682E"/>
    <w:rsid w:val="00610D00"/>
    <w:rsid w:val="00612FBC"/>
    <w:rsid w:val="006160DF"/>
    <w:rsid w:val="0062157B"/>
    <w:rsid w:val="00621D63"/>
    <w:rsid w:val="00626AB8"/>
    <w:rsid w:val="0064033E"/>
    <w:rsid w:val="0064214E"/>
    <w:rsid w:val="00642EC2"/>
    <w:rsid w:val="00644F1F"/>
    <w:rsid w:val="00647C3B"/>
    <w:rsid w:val="006502C2"/>
    <w:rsid w:val="006539C5"/>
    <w:rsid w:val="00654D66"/>
    <w:rsid w:val="00655E2A"/>
    <w:rsid w:val="00657AF7"/>
    <w:rsid w:val="00660604"/>
    <w:rsid w:val="00661396"/>
    <w:rsid w:val="00661E76"/>
    <w:rsid w:val="00662EB4"/>
    <w:rsid w:val="00664D2D"/>
    <w:rsid w:val="006660B9"/>
    <w:rsid w:val="0067038E"/>
    <w:rsid w:val="00675E0B"/>
    <w:rsid w:val="006816EB"/>
    <w:rsid w:val="00682DF4"/>
    <w:rsid w:val="006846E0"/>
    <w:rsid w:val="006893A5"/>
    <w:rsid w:val="00692A03"/>
    <w:rsid w:val="0069762C"/>
    <w:rsid w:val="006976D4"/>
    <w:rsid w:val="00697EF1"/>
    <w:rsid w:val="006A6D51"/>
    <w:rsid w:val="006B1A85"/>
    <w:rsid w:val="006B5216"/>
    <w:rsid w:val="006B5588"/>
    <w:rsid w:val="006B5AF6"/>
    <w:rsid w:val="006C0B95"/>
    <w:rsid w:val="006C32F9"/>
    <w:rsid w:val="006C657F"/>
    <w:rsid w:val="006D00FF"/>
    <w:rsid w:val="006D1021"/>
    <w:rsid w:val="006D1C57"/>
    <w:rsid w:val="006D25DE"/>
    <w:rsid w:val="006D30CB"/>
    <w:rsid w:val="006D7E41"/>
    <w:rsid w:val="006E0EFC"/>
    <w:rsid w:val="006E201A"/>
    <w:rsid w:val="006E21A6"/>
    <w:rsid w:val="006E3FE5"/>
    <w:rsid w:val="006E6C5F"/>
    <w:rsid w:val="006F0743"/>
    <w:rsid w:val="006F1909"/>
    <w:rsid w:val="006F3A65"/>
    <w:rsid w:val="006F7CAA"/>
    <w:rsid w:val="0070196D"/>
    <w:rsid w:val="007022DB"/>
    <w:rsid w:val="007048E8"/>
    <w:rsid w:val="00706123"/>
    <w:rsid w:val="00710943"/>
    <w:rsid w:val="0071200F"/>
    <w:rsid w:val="007133CE"/>
    <w:rsid w:val="007165EF"/>
    <w:rsid w:val="00717287"/>
    <w:rsid w:val="007207FB"/>
    <w:rsid w:val="00723C2A"/>
    <w:rsid w:val="007256F0"/>
    <w:rsid w:val="00731630"/>
    <w:rsid w:val="00732923"/>
    <w:rsid w:val="00734D92"/>
    <w:rsid w:val="0073639F"/>
    <w:rsid w:val="00736F2F"/>
    <w:rsid w:val="007377D7"/>
    <w:rsid w:val="0074203F"/>
    <w:rsid w:val="00742525"/>
    <w:rsid w:val="00744C62"/>
    <w:rsid w:val="007515E2"/>
    <w:rsid w:val="00760B57"/>
    <w:rsid w:val="00762B07"/>
    <w:rsid w:val="00763DD1"/>
    <w:rsid w:val="00764C31"/>
    <w:rsid w:val="007724D6"/>
    <w:rsid w:val="007768EB"/>
    <w:rsid w:val="0078389B"/>
    <w:rsid w:val="00791C7A"/>
    <w:rsid w:val="00794172"/>
    <w:rsid w:val="0079497D"/>
    <w:rsid w:val="00795530"/>
    <w:rsid w:val="007A033F"/>
    <w:rsid w:val="007A19CF"/>
    <w:rsid w:val="007A27D0"/>
    <w:rsid w:val="007A3450"/>
    <w:rsid w:val="007A4294"/>
    <w:rsid w:val="007A4D2D"/>
    <w:rsid w:val="007A5D6D"/>
    <w:rsid w:val="007B06E8"/>
    <w:rsid w:val="007B07D1"/>
    <w:rsid w:val="007B0CA6"/>
    <w:rsid w:val="007B3276"/>
    <w:rsid w:val="007B7315"/>
    <w:rsid w:val="007C1EC4"/>
    <w:rsid w:val="007C4E47"/>
    <w:rsid w:val="007C59BA"/>
    <w:rsid w:val="007C61BB"/>
    <w:rsid w:val="007C7309"/>
    <w:rsid w:val="007D0BE1"/>
    <w:rsid w:val="007D0C56"/>
    <w:rsid w:val="007D109B"/>
    <w:rsid w:val="007D399B"/>
    <w:rsid w:val="007D4FB7"/>
    <w:rsid w:val="007E21A9"/>
    <w:rsid w:val="007E30E2"/>
    <w:rsid w:val="007E3479"/>
    <w:rsid w:val="007E38CD"/>
    <w:rsid w:val="007E4F88"/>
    <w:rsid w:val="007E5530"/>
    <w:rsid w:val="007E589A"/>
    <w:rsid w:val="007E660A"/>
    <w:rsid w:val="007F0127"/>
    <w:rsid w:val="007F1739"/>
    <w:rsid w:val="007F4740"/>
    <w:rsid w:val="008003D8"/>
    <w:rsid w:val="00801F97"/>
    <w:rsid w:val="0080335C"/>
    <w:rsid w:val="008119D4"/>
    <w:rsid w:val="00811B02"/>
    <w:rsid w:val="00816A1D"/>
    <w:rsid w:val="00820978"/>
    <w:rsid w:val="00822279"/>
    <w:rsid w:val="00824F55"/>
    <w:rsid w:val="008259C3"/>
    <w:rsid w:val="008277D3"/>
    <w:rsid w:val="008302B1"/>
    <w:rsid w:val="00840DE0"/>
    <w:rsid w:val="008420A8"/>
    <w:rsid w:val="00846CD2"/>
    <w:rsid w:val="00855084"/>
    <w:rsid w:val="00860657"/>
    <w:rsid w:val="0086565D"/>
    <w:rsid w:val="00865A13"/>
    <w:rsid w:val="00867EDF"/>
    <w:rsid w:val="00872151"/>
    <w:rsid w:val="00873435"/>
    <w:rsid w:val="00880669"/>
    <w:rsid w:val="00880EE2"/>
    <w:rsid w:val="008920C2"/>
    <w:rsid w:val="00894929"/>
    <w:rsid w:val="008A628F"/>
    <w:rsid w:val="008B00BA"/>
    <w:rsid w:val="008B5A1C"/>
    <w:rsid w:val="008B71C0"/>
    <w:rsid w:val="008C2C5C"/>
    <w:rsid w:val="008C57E9"/>
    <w:rsid w:val="008D3762"/>
    <w:rsid w:val="008D4D93"/>
    <w:rsid w:val="008D5B8B"/>
    <w:rsid w:val="008D6289"/>
    <w:rsid w:val="008D6A97"/>
    <w:rsid w:val="008E0B16"/>
    <w:rsid w:val="008E5A61"/>
    <w:rsid w:val="008F027E"/>
    <w:rsid w:val="008F098D"/>
    <w:rsid w:val="008F0B58"/>
    <w:rsid w:val="008F2D90"/>
    <w:rsid w:val="00900503"/>
    <w:rsid w:val="00902BC4"/>
    <w:rsid w:val="00907842"/>
    <w:rsid w:val="00910264"/>
    <w:rsid w:val="0091060F"/>
    <w:rsid w:val="00913B66"/>
    <w:rsid w:val="00917BA4"/>
    <w:rsid w:val="00922167"/>
    <w:rsid w:val="00922C75"/>
    <w:rsid w:val="009236C8"/>
    <w:rsid w:val="00923C8E"/>
    <w:rsid w:val="00927284"/>
    <w:rsid w:val="00931731"/>
    <w:rsid w:val="00934DDA"/>
    <w:rsid w:val="00935DC5"/>
    <w:rsid w:val="00937381"/>
    <w:rsid w:val="0094053B"/>
    <w:rsid w:val="00940888"/>
    <w:rsid w:val="00941B1C"/>
    <w:rsid w:val="00944AB6"/>
    <w:rsid w:val="00946871"/>
    <w:rsid w:val="00947A22"/>
    <w:rsid w:val="00953399"/>
    <w:rsid w:val="0095482F"/>
    <w:rsid w:val="00955117"/>
    <w:rsid w:val="00956B94"/>
    <w:rsid w:val="00961355"/>
    <w:rsid w:val="009615B3"/>
    <w:rsid w:val="00972A09"/>
    <w:rsid w:val="00983E6D"/>
    <w:rsid w:val="009852AF"/>
    <w:rsid w:val="00985834"/>
    <w:rsid w:val="009A19F0"/>
    <w:rsid w:val="009A2B7C"/>
    <w:rsid w:val="009A4447"/>
    <w:rsid w:val="009B06A9"/>
    <w:rsid w:val="009B56D9"/>
    <w:rsid w:val="009B69F0"/>
    <w:rsid w:val="009C2BBE"/>
    <w:rsid w:val="009D3E86"/>
    <w:rsid w:val="009D61E0"/>
    <w:rsid w:val="009D764D"/>
    <w:rsid w:val="009E008F"/>
    <w:rsid w:val="009E1EA3"/>
    <w:rsid w:val="009E602C"/>
    <w:rsid w:val="009E79C7"/>
    <w:rsid w:val="009F03ED"/>
    <w:rsid w:val="009F2EBF"/>
    <w:rsid w:val="009F3391"/>
    <w:rsid w:val="00A00DEC"/>
    <w:rsid w:val="00A044EC"/>
    <w:rsid w:val="00A1471D"/>
    <w:rsid w:val="00A156D1"/>
    <w:rsid w:val="00A1792D"/>
    <w:rsid w:val="00A2125F"/>
    <w:rsid w:val="00A224B2"/>
    <w:rsid w:val="00A22F72"/>
    <w:rsid w:val="00A2360F"/>
    <w:rsid w:val="00A2430E"/>
    <w:rsid w:val="00A26D51"/>
    <w:rsid w:val="00A2795F"/>
    <w:rsid w:val="00A303F4"/>
    <w:rsid w:val="00A31F92"/>
    <w:rsid w:val="00A32F65"/>
    <w:rsid w:val="00A3308A"/>
    <w:rsid w:val="00A34FEC"/>
    <w:rsid w:val="00A3566E"/>
    <w:rsid w:val="00A364BF"/>
    <w:rsid w:val="00A377F2"/>
    <w:rsid w:val="00A37FE2"/>
    <w:rsid w:val="00A40565"/>
    <w:rsid w:val="00A40DAB"/>
    <w:rsid w:val="00A427D4"/>
    <w:rsid w:val="00A4322F"/>
    <w:rsid w:val="00A435F5"/>
    <w:rsid w:val="00A45F44"/>
    <w:rsid w:val="00A460D8"/>
    <w:rsid w:val="00A5487E"/>
    <w:rsid w:val="00A55922"/>
    <w:rsid w:val="00A56005"/>
    <w:rsid w:val="00A63D73"/>
    <w:rsid w:val="00A653A0"/>
    <w:rsid w:val="00A665F1"/>
    <w:rsid w:val="00A67544"/>
    <w:rsid w:val="00A7081B"/>
    <w:rsid w:val="00A749AB"/>
    <w:rsid w:val="00A7750D"/>
    <w:rsid w:val="00A835F3"/>
    <w:rsid w:val="00A97E53"/>
    <w:rsid w:val="00AA059D"/>
    <w:rsid w:val="00AA21D4"/>
    <w:rsid w:val="00AA4BD9"/>
    <w:rsid w:val="00AA7867"/>
    <w:rsid w:val="00AA7ED7"/>
    <w:rsid w:val="00AB07DA"/>
    <w:rsid w:val="00AB2C3D"/>
    <w:rsid w:val="00AB3663"/>
    <w:rsid w:val="00AB4115"/>
    <w:rsid w:val="00AB4F5A"/>
    <w:rsid w:val="00AB5263"/>
    <w:rsid w:val="00AD440D"/>
    <w:rsid w:val="00AD507A"/>
    <w:rsid w:val="00AE29EE"/>
    <w:rsid w:val="00AE3111"/>
    <w:rsid w:val="00AF1D7A"/>
    <w:rsid w:val="00AF290D"/>
    <w:rsid w:val="00AF306D"/>
    <w:rsid w:val="00AF4F45"/>
    <w:rsid w:val="00AF7257"/>
    <w:rsid w:val="00AF7DF4"/>
    <w:rsid w:val="00B0014D"/>
    <w:rsid w:val="00B01E0E"/>
    <w:rsid w:val="00B05027"/>
    <w:rsid w:val="00B109CC"/>
    <w:rsid w:val="00B25DCC"/>
    <w:rsid w:val="00B32237"/>
    <w:rsid w:val="00B33FEA"/>
    <w:rsid w:val="00B358DC"/>
    <w:rsid w:val="00B35A63"/>
    <w:rsid w:val="00B4117A"/>
    <w:rsid w:val="00B56011"/>
    <w:rsid w:val="00B616AA"/>
    <w:rsid w:val="00B62EE9"/>
    <w:rsid w:val="00B66048"/>
    <w:rsid w:val="00B6657F"/>
    <w:rsid w:val="00B714E5"/>
    <w:rsid w:val="00B72CAD"/>
    <w:rsid w:val="00B73222"/>
    <w:rsid w:val="00B7711D"/>
    <w:rsid w:val="00B80866"/>
    <w:rsid w:val="00B8165F"/>
    <w:rsid w:val="00B82515"/>
    <w:rsid w:val="00B865C9"/>
    <w:rsid w:val="00B90B99"/>
    <w:rsid w:val="00B918A7"/>
    <w:rsid w:val="00B935CC"/>
    <w:rsid w:val="00B941BD"/>
    <w:rsid w:val="00B96723"/>
    <w:rsid w:val="00BA06B9"/>
    <w:rsid w:val="00BA20B5"/>
    <w:rsid w:val="00BA4AEC"/>
    <w:rsid w:val="00BA5EED"/>
    <w:rsid w:val="00BB08B7"/>
    <w:rsid w:val="00BC06EC"/>
    <w:rsid w:val="00BC2CE2"/>
    <w:rsid w:val="00BC3EF8"/>
    <w:rsid w:val="00BD4038"/>
    <w:rsid w:val="00BD4CBF"/>
    <w:rsid w:val="00BD5094"/>
    <w:rsid w:val="00BE02EC"/>
    <w:rsid w:val="00BE0FB3"/>
    <w:rsid w:val="00BE345B"/>
    <w:rsid w:val="00BE38D1"/>
    <w:rsid w:val="00BE68BE"/>
    <w:rsid w:val="00BF19C6"/>
    <w:rsid w:val="00BF2215"/>
    <w:rsid w:val="00BF532A"/>
    <w:rsid w:val="00BF6A40"/>
    <w:rsid w:val="00BF75F8"/>
    <w:rsid w:val="00C0025B"/>
    <w:rsid w:val="00C00282"/>
    <w:rsid w:val="00C0154C"/>
    <w:rsid w:val="00C01FDC"/>
    <w:rsid w:val="00C046C5"/>
    <w:rsid w:val="00C06AB3"/>
    <w:rsid w:val="00C103D8"/>
    <w:rsid w:val="00C13B03"/>
    <w:rsid w:val="00C16272"/>
    <w:rsid w:val="00C2270A"/>
    <w:rsid w:val="00C25CEF"/>
    <w:rsid w:val="00C27A03"/>
    <w:rsid w:val="00C31B60"/>
    <w:rsid w:val="00C36156"/>
    <w:rsid w:val="00C36DE0"/>
    <w:rsid w:val="00C370D4"/>
    <w:rsid w:val="00C37533"/>
    <w:rsid w:val="00C4071A"/>
    <w:rsid w:val="00C41960"/>
    <w:rsid w:val="00C43775"/>
    <w:rsid w:val="00C441C9"/>
    <w:rsid w:val="00C52644"/>
    <w:rsid w:val="00C534E7"/>
    <w:rsid w:val="00C5735A"/>
    <w:rsid w:val="00C61837"/>
    <w:rsid w:val="00C61999"/>
    <w:rsid w:val="00C64FEF"/>
    <w:rsid w:val="00C70C1D"/>
    <w:rsid w:val="00C7138A"/>
    <w:rsid w:val="00C7594E"/>
    <w:rsid w:val="00C76D14"/>
    <w:rsid w:val="00C80869"/>
    <w:rsid w:val="00C80A32"/>
    <w:rsid w:val="00C8109A"/>
    <w:rsid w:val="00C8280F"/>
    <w:rsid w:val="00C87134"/>
    <w:rsid w:val="00C91058"/>
    <w:rsid w:val="00C9785F"/>
    <w:rsid w:val="00CA0E41"/>
    <w:rsid w:val="00CA17EB"/>
    <w:rsid w:val="00CA2219"/>
    <w:rsid w:val="00CA2403"/>
    <w:rsid w:val="00CB11ED"/>
    <w:rsid w:val="00CB23BF"/>
    <w:rsid w:val="00CC04E0"/>
    <w:rsid w:val="00CC1F0B"/>
    <w:rsid w:val="00CC516B"/>
    <w:rsid w:val="00CC5BD0"/>
    <w:rsid w:val="00CD4205"/>
    <w:rsid w:val="00CD6EF0"/>
    <w:rsid w:val="00CD6FB5"/>
    <w:rsid w:val="00CE16A8"/>
    <w:rsid w:val="00CE231F"/>
    <w:rsid w:val="00CE3B9D"/>
    <w:rsid w:val="00CE4567"/>
    <w:rsid w:val="00CE54AD"/>
    <w:rsid w:val="00CE6F3E"/>
    <w:rsid w:val="00CF0E25"/>
    <w:rsid w:val="00CF1514"/>
    <w:rsid w:val="00CF3323"/>
    <w:rsid w:val="00CF3D54"/>
    <w:rsid w:val="00CF603A"/>
    <w:rsid w:val="00CF6312"/>
    <w:rsid w:val="00D0501C"/>
    <w:rsid w:val="00D10BD3"/>
    <w:rsid w:val="00D11FCD"/>
    <w:rsid w:val="00D133C4"/>
    <w:rsid w:val="00D21F59"/>
    <w:rsid w:val="00D22521"/>
    <w:rsid w:val="00D23C2E"/>
    <w:rsid w:val="00D26F51"/>
    <w:rsid w:val="00D3573D"/>
    <w:rsid w:val="00D36F4B"/>
    <w:rsid w:val="00D37448"/>
    <w:rsid w:val="00D428A6"/>
    <w:rsid w:val="00D43E5D"/>
    <w:rsid w:val="00D479A0"/>
    <w:rsid w:val="00D479E5"/>
    <w:rsid w:val="00D50E92"/>
    <w:rsid w:val="00D515A4"/>
    <w:rsid w:val="00D529A8"/>
    <w:rsid w:val="00D52A23"/>
    <w:rsid w:val="00D53D85"/>
    <w:rsid w:val="00D55A03"/>
    <w:rsid w:val="00D56224"/>
    <w:rsid w:val="00D6015E"/>
    <w:rsid w:val="00D610C8"/>
    <w:rsid w:val="00D61D61"/>
    <w:rsid w:val="00D67B09"/>
    <w:rsid w:val="00D70396"/>
    <w:rsid w:val="00D76A09"/>
    <w:rsid w:val="00D8035E"/>
    <w:rsid w:val="00D8231C"/>
    <w:rsid w:val="00D832F9"/>
    <w:rsid w:val="00D9377A"/>
    <w:rsid w:val="00D94937"/>
    <w:rsid w:val="00DA2204"/>
    <w:rsid w:val="00DA26E0"/>
    <w:rsid w:val="00DA37FF"/>
    <w:rsid w:val="00DB51B4"/>
    <w:rsid w:val="00DB591A"/>
    <w:rsid w:val="00DC035F"/>
    <w:rsid w:val="00DC19EF"/>
    <w:rsid w:val="00DC3C8A"/>
    <w:rsid w:val="00DC562C"/>
    <w:rsid w:val="00DD0A2C"/>
    <w:rsid w:val="00DD2AE5"/>
    <w:rsid w:val="00DD39D6"/>
    <w:rsid w:val="00DD42A0"/>
    <w:rsid w:val="00DD639D"/>
    <w:rsid w:val="00DD6CF6"/>
    <w:rsid w:val="00DE2FE8"/>
    <w:rsid w:val="00DE39AD"/>
    <w:rsid w:val="00DE6E89"/>
    <w:rsid w:val="00DF0BEE"/>
    <w:rsid w:val="00DF3BA6"/>
    <w:rsid w:val="00DF3CFE"/>
    <w:rsid w:val="00DF458E"/>
    <w:rsid w:val="00E02717"/>
    <w:rsid w:val="00E03461"/>
    <w:rsid w:val="00E0347A"/>
    <w:rsid w:val="00E0536F"/>
    <w:rsid w:val="00E07508"/>
    <w:rsid w:val="00E11DA3"/>
    <w:rsid w:val="00E14052"/>
    <w:rsid w:val="00E208EE"/>
    <w:rsid w:val="00E21F6D"/>
    <w:rsid w:val="00E22AFF"/>
    <w:rsid w:val="00E22F31"/>
    <w:rsid w:val="00E27261"/>
    <w:rsid w:val="00E3448A"/>
    <w:rsid w:val="00E3471A"/>
    <w:rsid w:val="00E34D2E"/>
    <w:rsid w:val="00E36C4A"/>
    <w:rsid w:val="00E41576"/>
    <w:rsid w:val="00E41F64"/>
    <w:rsid w:val="00E42940"/>
    <w:rsid w:val="00E443EC"/>
    <w:rsid w:val="00E44BE2"/>
    <w:rsid w:val="00E44CE0"/>
    <w:rsid w:val="00E5395E"/>
    <w:rsid w:val="00E54233"/>
    <w:rsid w:val="00E55A42"/>
    <w:rsid w:val="00E55C7C"/>
    <w:rsid w:val="00E62C20"/>
    <w:rsid w:val="00E7077D"/>
    <w:rsid w:val="00E75550"/>
    <w:rsid w:val="00E75D84"/>
    <w:rsid w:val="00E766D1"/>
    <w:rsid w:val="00E8150B"/>
    <w:rsid w:val="00E823C9"/>
    <w:rsid w:val="00E84D11"/>
    <w:rsid w:val="00E90060"/>
    <w:rsid w:val="00E93291"/>
    <w:rsid w:val="00E93E1A"/>
    <w:rsid w:val="00EA1AE9"/>
    <w:rsid w:val="00EA393D"/>
    <w:rsid w:val="00EA4945"/>
    <w:rsid w:val="00EB6FB6"/>
    <w:rsid w:val="00EC1763"/>
    <w:rsid w:val="00EC268B"/>
    <w:rsid w:val="00EC6E7A"/>
    <w:rsid w:val="00ED19ED"/>
    <w:rsid w:val="00ED27DC"/>
    <w:rsid w:val="00ED3D2B"/>
    <w:rsid w:val="00ED4B17"/>
    <w:rsid w:val="00EE1F10"/>
    <w:rsid w:val="00EE21FB"/>
    <w:rsid w:val="00EE32E4"/>
    <w:rsid w:val="00EE387E"/>
    <w:rsid w:val="00EE3D8A"/>
    <w:rsid w:val="00EE41CC"/>
    <w:rsid w:val="00EE49BF"/>
    <w:rsid w:val="00EE6020"/>
    <w:rsid w:val="00EE6190"/>
    <w:rsid w:val="00EF14F4"/>
    <w:rsid w:val="00EF18CE"/>
    <w:rsid w:val="00EF258D"/>
    <w:rsid w:val="00EF4AF1"/>
    <w:rsid w:val="00EF4C69"/>
    <w:rsid w:val="00F043BE"/>
    <w:rsid w:val="00F05035"/>
    <w:rsid w:val="00F21264"/>
    <w:rsid w:val="00F224CE"/>
    <w:rsid w:val="00F24058"/>
    <w:rsid w:val="00F24A0E"/>
    <w:rsid w:val="00F25F38"/>
    <w:rsid w:val="00F25FFF"/>
    <w:rsid w:val="00F26825"/>
    <w:rsid w:val="00F3339C"/>
    <w:rsid w:val="00F33B40"/>
    <w:rsid w:val="00F3482F"/>
    <w:rsid w:val="00F35D58"/>
    <w:rsid w:val="00F40AC0"/>
    <w:rsid w:val="00F42886"/>
    <w:rsid w:val="00F44856"/>
    <w:rsid w:val="00F45A6D"/>
    <w:rsid w:val="00F469AC"/>
    <w:rsid w:val="00F50079"/>
    <w:rsid w:val="00F51CE5"/>
    <w:rsid w:val="00F52A04"/>
    <w:rsid w:val="00F53298"/>
    <w:rsid w:val="00F55D26"/>
    <w:rsid w:val="00F628DB"/>
    <w:rsid w:val="00F6743C"/>
    <w:rsid w:val="00F70FD8"/>
    <w:rsid w:val="00F72E55"/>
    <w:rsid w:val="00F73832"/>
    <w:rsid w:val="00F73B43"/>
    <w:rsid w:val="00F75C1B"/>
    <w:rsid w:val="00F81F49"/>
    <w:rsid w:val="00F870BD"/>
    <w:rsid w:val="00F92036"/>
    <w:rsid w:val="00F92B7A"/>
    <w:rsid w:val="00F9620D"/>
    <w:rsid w:val="00F97294"/>
    <w:rsid w:val="00FA4EEF"/>
    <w:rsid w:val="00FA6F09"/>
    <w:rsid w:val="00FB0A61"/>
    <w:rsid w:val="00FB1C45"/>
    <w:rsid w:val="00FB205E"/>
    <w:rsid w:val="00FB69B2"/>
    <w:rsid w:val="00FC0DBF"/>
    <w:rsid w:val="00FC6331"/>
    <w:rsid w:val="00FC7042"/>
    <w:rsid w:val="00FC77FC"/>
    <w:rsid w:val="00FD1DAA"/>
    <w:rsid w:val="00FD1F48"/>
    <w:rsid w:val="00FD2833"/>
    <w:rsid w:val="00FD4768"/>
    <w:rsid w:val="00FD57BB"/>
    <w:rsid w:val="00FD5EB3"/>
    <w:rsid w:val="00FF09E8"/>
    <w:rsid w:val="00FF0CCA"/>
    <w:rsid w:val="00FF2B9D"/>
    <w:rsid w:val="00FF5DB7"/>
    <w:rsid w:val="00FF65B5"/>
    <w:rsid w:val="00FF6DEB"/>
    <w:rsid w:val="00FF78CA"/>
    <w:rsid w:val="13954349"/>
    <w:rsid w:val="1DCDB54A"/>
    <w:rsid w:val="2244B390"/>
    <w:rsid w:val="46406E44"/>
    <w:rsid w:val="537B5449"/>
    <w:rsid w:val="66B37A1F"/>
    <w:rsid w:val="684F4A80"/>
    <w:rsid w:val="709E2464"/>
    <w:rsid w:val="7D2027E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6FED5"/>
  <w15:chartTrackingRefBased/>
  <w15:docId w15:val="{FFB5536E-3EE5-4107-A96D-A6C828BB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8E8"/>
    <w:pPr>
      <w:spacing w:after="200" w:line="276" w:lineRule="auto"/>
    </w:pPr>
    <w:rPr>
      <w:rFonts w:ascii="Calibri" w:hAnsi="Calibri"/>
      <w:sz w:val="22"/>
      <w:szCs w:val="22"/>
      <w:lang w:eastAsia="en-US"/>
    </w:rPr>
  </w:style>
  <w:style w:type="paragraph" w:styleId="Ttulo1">
    <w:name w:val="heading 1"/>
    <w:basedOn w:val="Normal"/>
    <w:next w:val="Normal"/>
    <w:qFormat/>
    <w:rsid w:val="007048E8"/>
    <w:pPr>
      <w:keepNext/>
      <w:numPr>
        <w:numId w:val="1"/>
      </w:numPr>
      <w:spacing w:after="600" w:line="240" w:lineRule="auto"/>
      <w:jc w:val="both"/>
      <w:outlineLvl w:val="0"/>
    </w:pPr>
    <w:rPr>
      <w:rFonts w:ascii="Arial" w:eastAsia="Calibri" w:hAnsi="Arial"/>
      <w:b/>
      <w:bCs/>
      <w:caps/>
      <w:kern w:val="32"/>
      <w:sz w:val="24"/>
      <w:szCs w:val="32"/>
    </w:rPr>
  </w:style>
  <w:style w:type="paragraph" w:styleId="Ttulo2">
    <w:name w:val="heading 2"/>
    <w:basedOn w:val="Normal"/>
    <w:next w:val="Normal"/>
    <w:qFormat/>
    <w:rsid w:val="007048E8"/>
    <w:pPr>
      <w:keepNext/>
      <w:numPr>
        <w:ilvl w:val="1"/>
        <w:numId w:val="1"/>
      </w:numPr>
      <w:spacing w:before="1000" w:after="1000" w:line="360" w:lineRule="auto"/>
      <w:ind w:left="578" w:hanging="578"/>
      <w:jc w:val="both"/>
      <w:outlineLvl w:val="1"/>
    </w:pPr>
    <w:rPr>
      <w:rFonts w:ascii="Arial" w:eastAsia="Calibri" w:hAnsi="Arial" w:cs="Arial"/>
      <w:bCs/>
      <w:iCs/>
      <w:caps/>
      <w:sz w:val="28"/>
      <w:szCs w:val="28"/>
      <w:lang w:eastAsia="pt-BR"/>
    </w:rPr>
  </w:style>
  <w:style w:type="paragraph" w:styleId="Ttulo3">
    <w:name w:val="heading 3"/>
    <w:basedOn w:val="Normal"/>
    <w:next w:val="Normal"/>
    <w:qFormat/>
    <w:rsid w:val="007048E8"/>
    <w:pPr>
      <w:keepNext/>
      <w:numPr>
        <w:ilvl w:val="2"/>
        <w:numId w:val="1"/>
      </w:numPr>
      <w:spacing w:before="1000" w:after="1000" w:line="360" w:lineRule="auto"/>
      <w:jc w:val="both"/>
      <w:outlineLvl w:val="2"/>
    </w:pPr>
    <w:rPr>
      <w:rFonts w:ascii="Arial" w:eastAsia="Calibri" w:hAnsi="Arial" w:cs="Arial"/>
      <w:b/>
      <w:bCs/>
      <w:sz w:val="24"/>
      <w:szCs w:val="26"/>
      <w:lang w:eastAsia="pt-BR"/>
    </w:rPr>
  </w:style>
  <w:style w:type="paragraph" w:styleId="Ttulo4">
    <w:name w:val="heading 4"/>
    <w:basedOn w:val="Normal"/>
    <w:next w:val="Normal"/>
    <w:link w:val="Ttulo4Char"/>
    <w:qFormat/>
    <w:rsid w:val="007048E8"/>
    <w:pPr>
      <w:keepNext/>
      <w:numPr>
        <w:ilvl w:val="3"/>
        <w:numId w:val="1"/>
      </w:numPr>
      <w:spacing w:before="240" w:after="60" w:line="480" w:lineRule="auto"/>
      <w:jc w:val="both"/>
      <w:outlineLvl w:val="3"/>
    </w:pPr>
    <w:rPr>
      <w:rFonts w:ascii="Arial" w:eastAsia="Calibri" w:hAnsi="Arial"/>
      <w:bCs/>
      <w:sz w:val="28"/>
      <w:szCs w:val="28"/>
      <w:lang w:eastAsia="pt-BR"/>
    </w:rPr>
  </w:style>
  <w:style w:type="paragraph" w:styleId="Ttulo5">
    <w:name w:val="heading 5"/>
    <w:basedOn w:val="Normal"/>
    <w:next w:val="Normal"/>
    <w:qFormat/>
    <w:rsid w:val="007048E8"/>
    <w:pPr>
      <w:numPr>
        <w:ilvl w:val="4"/>
        <w:numId w:val="1"/>
      </w:numPr>
      <w:spacing w:before="240" w:after="60" w:line="360" w:lineRule="auto"/>
      <w:jc w:val="both"/>
      <w:outlineLvl w:val="4"/>
    </w:pPr>
    <w:rPr>
      <w:rFonts w:ascii="Arial" w:eastAsia="Calibri" w:hAnsi="Arial"/>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locked/>
    <w:rsid w:val="007048E8"/>
    <w:rPr>
      <w:rFonts w:ascii="Arial" w:eastAsia="Calibri" w:hAnsi="Arial"/>
      <w:bCs/>
      <w:sz w:val="28"/>
      <w:szCs w:val="28"/>
      <w:lang w:val="pt-BR" w:eastAsia="pt-BR" w:bidi="ar-SA"/>
    </w:rPr>
  </w:style>
  <w:style w:type="paragraph" w:styleId="Corpodetexto">
    <w:name w:val="Body Text"/>
    <w:basedOn w:val="Normal"/>
    <w:link w:val="CorpodetextoChar"/>
    <w:rsid w:val="007048E8"/>
    <w:pPr>
      <w:spacing w:after="0" w:line="240" w:lineRule="auto"/>
      <w:jc w:val="center"/>
    </w:pPr>
    <w:rPr>
      <w:rFonts w:ascii="Times New Roman" w:eastAsia="Calibri" w:hAnsi="Times New Roman"/>
      <w:sz w:val="28"/>
      <w:szCs w:val="20"/>
      <w:lang w:eastAsia="pt-BR"/>
    </w:rPr>
  </w:style>
  <w:style w:type="character" w:customStyle="1" w:styleId="CorpodetextoChar">
    <w:name w:val="Corpo de texto Char"/>
    <w:link w:val="Corpodetexto"/>
    <w:locked/>
    <w:rsid w:val="007048E8"/>
    <w:rPr>
      <w:rFonts w:eastAsia="Calibri"/>
      <w:sz w:val="28"/>
      <w:lang w:val="pt-BR" w:eastAsia="pt-BR" w:bidi="ar-SA"/>
    </w:rPr>
  </w:style>
  <w:style w:type="paragraph" w:styleId="Ttulo">
    <w:name w:val="Title"/>
    <w:basedOn w:val="Normal"/>
    <w:link w:val="TtuloChar"/>
    <w:qFormat/>
    <w:rsid w:val="007048E8"/>
    <w:pPr>
      <w:spacing w:after="0" w:line="240" w:lineRule="auto"/>
      <w:jc w:val="center"/>
    </w:pPr>
    <w:rPr>
      <w:rFonts w:ascii="Times New Roman" w:eastAsia="Calibri" w:hAnsi="Times New Roman"/>
      <w:b/>
      <w:sz w:val="24"/>
      <w:szCs w:val="20"/>
      <w:lang w:eastAsia="pt-BR"/>
    </w:rPr>
  </w:style>
  <w:style w:type="character" w:customStyle="1" w:styleId="TtuloChar">
    <w:name w:val="Título Char"/>
    <w:link w:val="Ttulo"/>
    <w:locked/>
    <w:rsid w:val="007048E8"/>
    <w:rPr>
      <w:rFonts w:eastAsia="Calibri"/>
      <w:b/>
      <w:sz w:val="24"/>
      <w:lang w:val="pt-BR" w:eastAsia="pt-BR" w:bidi="ar-SA"/>
    </w:rPr>
  </w:style>
  <w:style w:type="paragraph" w:customStyle="1" w:styleId="Default">
    <w:name w:val="Default"/>
    <w:rsid w:val="007048E8"/>
    <w:pPr>
      <w:autoSpaceDE w:val="0"/>
      <w:autoSpaceDN w:val="0"/>
      <w:adjustRightInd w:val="0"/>
    </w:pPr>
    <w:rPr>
      <w:color w:val="000000"/>
      <w:sz w:val="24"/>
      <w:szCs w:val="24"/>
      <w:lang w:eastAsia="en-US"/>
    </w:rPr>
  </w:style>
  <w:style w:type="paragraph" w:customStyle="1" w:styleId="Pareceres">
    <w:name w:val="Pareceres"/>
    <w:basedOn w:val="Normal"/>
    <w:link w:val="PareceresChar"/>
    <w:rsid w:val="002F4946"/>
    <w:pPr>
      <w:spacing w:line="360" w:lineRule="auto"/>
      <w:jc w:val="both"/>
    </w:pPr>
    <w:rPr>
      <w:rFonts w:ascii="Times New Roman" w:hAnsi="Times New Roman"/>
      <w:sz w:val="24"/>
      <w:szCs w:val="20"/>
      <w:lang w:eastAsia="pt-BR"/>
    </w:rPr>
  </w:style>
  <w:style w:type="character" w:customStyle="1" w:styleId="PareceresChar">
    <w:name w:val="Pareceres Char"/>
    <w:link w:val="Pareceres"/>
    <w:locked/>
    <w:rsid w:val="002F4946"/>
    <w:rPr>
      <w:sz w:val="24"/>
      <w:lang w:val="pt-BR" w:eastAsia="pt-BR" w:bidi="ar-SA"/>
    </w:rPr>
  </w:style>
  <w:style w:type="paragraph" w:styleId="Cabealho">
    <w:name w:val="header"/>
    <w:basedOn w:val="Normal"/>
    <w:rsid w:val="004F46AE"/>
    <w:pPr>
      <w:tabs>
        <w:tab w:val="center" w:pos="4252"/>
        <w:tab w:val="right" w:pos="8504"/>
      </w:tabs>
    </w:pPr>
  </w:style>
  <w:style w:type="paragraph" w:styleId="Rodap">
    <w:name w:val="footer"/>
    <w:basedOn w:val="Normal"/>
    <w:link w:val="RodapChar"/>
    <w:rsid w:val="004F46AE"/>
    <w:pPr>
      <w:tabs>
        <w:tab w:val="center" w:pos="4252"/>
        <w:tab w:val="right" w:pos="8504"/>
      </w:tabs>
    </w:pPr>
  </w:style>
  <w:style w:type="character" w:customStyle="1" w:styleId="RodapChar">
    <w:name w:val="Rodapé Char"/>
    <w:link w:val="Rodap"/>
    <w:semiHidden/>
    <w:locked/>
    <w:rsid w:val="004F46AE"/>
    <w:rPr>
      <w:rFonts w:ascii="Calibri" w:hAnsi="Calibri"/>
      <w:sz w:val="22"/>
      <w:szCs w:val="22"/>
      <w:lang w:val="pt-BR" w:eastAsia="en-US" w:bidi="ar-SA"/>
    </w:rPr>
  </w:style>
  <w:style w:type="character" w:styleId="Nmerodepgina">
    <w:name w:val="page number"/>
    <w:basedOn w:val="Fontepargpadro"/>
    <w:rsid w:val="004F46AE"/>
  </w:style>
  <w:style w:type="paragraph" w:customStyle="1" w:styleId="BodyText31">
    <w:name w:val="Body Text 31"/>
    <w:basedOn w:val="Normal"/>
    <w:rsid w:val="00FC6331"/>
    <w:pPr>
      <w:widowControl w:val="0"/>
      <w:tabs>
        <w:tab w:val="left" w:pos="0"/>
        <w:tab w:val="left" w:pos="851"/>
        <w:tab w:val="left" w:pos="1701"/>
        <w:tab w:val="left" w:pos="2552"/>
        <w:tab w:val="left" w:pos="3403"/>
        <w:tab w:val="left" w:pos="4254"/>
        <w:tab w:val="right" w:leader="dot" w:pos="5105"/>
        <w:tab w:val="left" w:pos="5955"/>
        <w:tab w:val="left" w:pos="6806"/>
        <w:tab w:val="left" w:pos="7657"/>
        <w:tab w:val="left" w:pos="9356"/>
        <w:tab w:val="left" w:pos="10209"/>
        <w:tab w:val="left" w:pos="11060"/>
        <w:tab w:val="left" w:pos="11911"/>
        <w:tab w:val="left" w:pos="12762"/>
        <w:tab w:val="left" w:pos="13613"/>
      </w:tabs>
      <w:suppressAutoHyphens/>
      <w:spacing w:after="0" w:line="240" w:lineRule="auto"/>
      <w:ind w:right="85"/>
      <w:jc w:val="both"/>
    </w:pPr>
    <w:rPr>
      <w:rFonts w:ascii="Times New Roman" w:hAnsi="Times New Roman"/>
      <w:szCs w:val="20"/>
      <w:lang w:eastAsia="pt-BR"/>
    </w:rPr>
  </w:style>
  <w:style w:type="character" w:styleId="Refdecomentrio">
    <w:name w:val="annotation reference"/>
    <w:semiHidden/>
    <w:rsid w:val="00A67544"/>
    <w:rPr>
      <w:sz w:val="16"/>
      <w:szCs w:val="16"/>
    </w:rPr>
  </w:style>
  <w:style w:type="paragraph" w:styleId="Textodecomentrio">
    <w:name w:val="annotation text"/>
    <w:basedOn w:val="Normal"/>
    <w:semiHidden/>
    <w:rsid w:val="00A67544"/>
    <w:rPr>
      <w:sz w:val="20"/>
      <w:szCs w:val="20"/>
    </w:rPr>
  </w:style>
  <w:style w:type="paragraph" w:styleId="Assuntodocomentrio">
    <w:name w:val="annotation subject"/>
    <w:basedOn w:val="Textodecomentrio"/>
    <w:next w:val="Textodecomentrio"/>
    <w:semiHidden/>
    <w:rsid w:val="00A67544"/>
    <w:rPr>
      <w:b/>
      <w:bCs/>
    </w:rPr>
  </w:style>
  <w:style w:type="paragraph" w:styleId="Textodebalo">
    <w:name w:val="Balloon Text"/>
    <w:basedOn w:val="Normal"/>
    <w:semiHidden/>
    <w:rsid w:val="00A67544"/>
    <w:rPr>
      <w:rFonts w:ascii="Tahoma" w:hAnsi="Tahoma" w:cs="Tahoma"/>
      <w:sz w:val="16"/>
      <w:szCs w:val="16"/>
    </w:rPr>
  </w:style>
  <w:style w:type="paragraph" w:styleId="Corpodetexto2">
    <w:name w:val="Body Text 2"/>
    <w:basedOn w:val="Normal"/>
    <w:rsid w:val="00867EDF"/>
    <w:pPr>
      <w:spacing w:after="120" w:line="480" w:lineRule="auto"/>
    </w:pPr>
  </w:style>
  <w:style w:type="paragraph" w:styleId="Textodenotaderodap">
    <w:name w:val="footnote text"/>
    <w:basedOn w:val="Normal"/>
    <w:link w:val="TextodenotaderodapChar"/>
    <w:semiHidden/>
    <w:rsid w:val="007E660A"/>
    <w:pPr>
      <w:spacing w:before="100" w:beforeAutospacing="1" w:after="100" w:afterAutospacing="1" w:line="240" w:lineRule="auto"/>
    </w:pPr>
    <w:rPr>
      <w:rFonts w:ascii="Times New Roman" w:hAnsi="Times New Roman"/>
      <w:sz w:val="24"/>
      <w:szCs w:val="24"/>
      <w:lang w:eastAsia="pt-BR"/>
    </w:rPr>
  </w:style>
  <w:style w:type="character" w:customStyle="1" w:styleId="TextodenotaderodapChar">
    <w:name w:val="Texto de nota de rodapé Char"/>
    <w:link w:val="Textodenotaderodap"/>
    <w:semiHidden/>
    <w:locked/>
    <w:rsid w:val="007E660A"/>
    <w:rPr>
      <w:sz w:val="24"/>
      <w:szCs w:val="24"/>
      <w:lang w:val="pt-BR" w:eastAsia="pt-BR" w:bidi="ar-SA"/>
    </w:rPr>
  </w:style>
  <w:style w:type="paragraph" w:customStyle="1" w:styleId="PargrafodaLista1">
    <w:name w:val="Parágrafo da Lista1"/>
    <w:basedOn w:val="Normal"/>
    <w:rsid w:val="00E0536F"/>
    <w:pPr>
      <w:spacing w:after="0" w:line="240" w:lineRule="auto"/>
      <w:ind w:left="720" w:right="17" w:firstLine="1440"/>
      <w:contextualSpacing/>
      <w:jc w:val="both"/>
    </w:pPr>
  </w:style>
  <w:style w:type="character" w:styleId="Hyperlink">
    <w:name w:val="Hyperlink"/>
    <w:rsid w:val="008D6289"/>
    <w:rPr>
      <w:color w:val="FFFF99"/>
      <w:u w:val="single"/>
    </w:rPr>
  </w:style>
  <w:style w:type="paragraph" w:styleId="Reviso">
    <w:name w:val="Revision"/>
    <w:hidden/>
    <w:uiPriority w:val="99"/>
    <w:semiHidden/>
    <w:rsid w:val="001016D8"/>
    <w:rPr>
      <w:rFonts w:ascii="Calibri" w:hAnsi="Calibri"/>
      <w:sz w:val="22"/>
      <w:szCs w:val="22"/>
      <w:lang w:eastAsia="en-US"/>
    </w:rPr>
  </w:style>
  <w:style w:type="character" w:customStyle="1" w:styleId="longtext1">
    <w:name w:val="long_text1"/>
    <w:rsid w:val="003D20D2"/>
    <w:rPr>
      <w:sz w:val="20"/>
    </w:rPr>
  </w:style>
  <w:style w:type="paragraph" w:customStyle="1" w:styleId="ListParagraph0">
    <w:name w:val="List Paragraph0"/>
    <w:basedOn w:val="Normal"/>
    <w:uiPriority w:val="34"/>
    <w:qFormat/>
    <w:rsid w:val="00C06AB3"/>
    <w:pPr>
      <w:ind w:left="720"/>
      <w:contextualSpacing/>
    </w:pPr>
    <w:rPr>
      <w:rFonts w:eastAsia="Calibri"/>
    </w:rPr>
  </w:style>
  <w:style w:type="paragraph" w:customStyle="1" w:styleId="textocitao">
    <w:name w:val="texto_citação"/>
    <w:basedOn w:val="Normal"/>
    <w:rsid w:val="002A7170"/>
    <w:pPr>
      <w:spacing w:before="100" w:beforeAutospacing="1" w:after="100" w:afterAutospacing="1" w:line="240" w:lineRule="auto"/>
    </w:pPr>
    <w:rPr>
      <w:rFonts w:ascii="Times New Roman" w:hAnsi="Times New Roman"/>
      <w:sz w:val="24"/>
      <w:szCs w:val="24"/>
      <w:lang w:eastAsia="pt-BR"/>
    </w:rPr>
  </w:style>
  <w:style w:type="character" w:styleId="Forte">
    <w:name w:val="Strong"/>
    <w:uiPriority w:val="22"/>
    <w:qFormat/>
    <w:rsid w:val="002A7170"/>
    <w:rPr>
      <w:b/>
      <w:bCs/>
    </w:rPr>
  </w:style>
  <w:style w:type="paragraph" w:customStyle="1" w:styleId="textojustificadorecuoprimeiralinha">
    <w:name w:val="texto_justificado_recuo_primeira_linha"/>
    <w:basedOn w:val="Normal"/>
    <w:rsid w:val="002A7170"/>
    <w:pPr>
      <w:spacing w:before="100" w:beforeAutospacing="1" w:after="100" w:afterAutospacing="1" w:line="240" w:lineRule="auto"/>
    </w:pPr>
    <w:rPr>
      <w:rFonts w:ascii="Times New Roman" w:hAnsi="Times New Roman"/>
      <w:sz w:val="24"/>
      <w:szCs w:val="24"/>
      <w:lang w:eastAsia="pt-BR"/>
    </w:rPr>
  </w:style>
  <w:style w:type="table" w:styleId="Tabelacomgrade">
    <w:name w:val="Table Grid"/>
    <w:basedOn w:val="Tabelanormal"/>
    <w:uiPriority w:val="59"/>
    <w:rsid w:val="007E34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251D2E"/>
    <w:pPr>
      <w:pBdr>
        <w:top w:val="nil"/>
        <w:left w:val="nil"/>
        <w:bottom w:val="nil"/>
        <w:right w:val="nil"/>
        <w:between w:val="nil"/>
        <w:bar w:val="nil"/>
      </w:pBdr>
    </w:pPr>
    <w:rPr>
      <w:rFonts w:eastAsia="Arial Unicode MS"/>
      <w:bdr w:val="nil"/>
      <w:lang w:eastAsia="pt-B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719">
      <w:bodyDiv w:val="1"/>
      <w:marLeft w:val="0"/>
      <w:marRight w:val="0"/>
      <w:marTop w:val="0"/>
      <w:marBottom w:val="0"/>
      <w:divBdr>
        <w:top w:val="none" w:sz="0" w:space="0" w:color="auto"/>
        <w:left w:val="none" w:sz="0" w:space="0" w:color="auto"/>
        <w:bottom w:val="none" w:sz="0" w:space="0" w:color="auto"/>
        <w:right w:val="none" w:sz="0" w:space="0" w:color="auto"/>
      </w:divBdr>
    </w:div>
    <w:div w:id="229731532">
      <w:bodyDiv w:val="1"/>
      <w:marLeft w:val="0"/>
      <w:marRight w:val="0"/>
      <w:marTop w:val="0"/>
      <w:marBottom w:val="0"/>
      <w:divBdr>
        <w:top w:val="none" w:sz="0" w:space="0" w:color="auto"/>
        <w:left w:val="none" w:sz="0" w:space="0" w:color="auto"/>
        <w:bottom w:val="none" w:sz="0" w:space="0" w:color="auto"/>
        <w:right w:val="none" w:sz="0" w:space="0" w:color="auto"/>
      </w:divBdr>
    </w:div>
    <w:div w:id="418913200">
      <w:bodyDiv w:val="1"/>
      <w:marLeft w:val="0"/>
      <w:marRight w:val="0"/>
      <w:marTop w:val="0"/>
      <w:marBottom w:val="0"/>
      <w:divBdr>
        <w:top w:val="none" w:sz="0" w:space="0" w:color="auto"/>
        <w:left w:val="none" w:sz="0" w:space="0" w:color="auto"/>
        <w:bottom w:val="none" w:sz="0" w:space="0" w:color="auto"/>
        <w:right w:val="none" w:sz="0" w:space="0" w:color="auto"/>
      </w:divBdr>
    </w:div>
    <w:div w:id="462500003">
      <w:bodyDiv w:val="1"/>
      <w:marLeft w:val="0"/>
      <w:marRight w:val="0"/>
      <w:marTop w:val="0"/>
      <w:marBottom w:val="0"/>
      <w:divBdr>
        <w:top w:val="none" w:sz="0" w:space="0" w:color="auto"/>
        <w:left w:val="none" w:sz="0" w:space="0" w:color="auto"/>
        <w:bottom w:val="none" w:sz="0" w:space="0" w:color="auto"/>
        <w:right w:val="none" w:sz="0" w:space="0" w:color="auto"/>
      </w:divBdr>
    </w:div>
    <w:div w:id="563182975">
      <w:bodyDiv w:val="1"/>
      <w:marLeft w:val="0"/>
      <w:marRight w:val="0"/>
      <w:marTop w:val="0"/>
      <w:marBottom w:val="0"/>
      <w:divBdr>
        <w:top w:val="none" w:sz="0" w:space="0" w:color="auto"/>
        <w:left w:val="none" w:sz="0" w:space="0" w:color="auto"/>
        <w:bottom w:val="none" w:sz="0" w:space="0" w:color="auto"/>
        <w:right w:val="none" w:sz="0" w:space="0" w:color="auto"/>
      </w:divBdr>
    </w:div>
    <w:div w:id="624313818">
      <w:bodyDiv w:val="1"/>
      <w:marLeft w:val="0"/>
      <w:marRight w:val="0"/>
      <w:marTop w:val="0"/>
      <w:marBottom w:val="0"/>
      <w:divBdr>
        <w:top w:val="none" w:sz="0" w:space="0" w:color="auto"/>
        <w:left w:val="none" w:sz="0" w:space="0" w:color="auto"/>
        <w:bottom w:val="none" w:sz="0" w:space="0" w:color="auto"/>
        <w:right w:val="none" w:sz="0" w:space="0" w:color="auto"/>
      </w:divBdr>
    </w:div>
    <w:div w:id="1216356181">
      <w:bodyDiv w:val="1"/>
      <w:marLeft w:val="0"/>
      <w:marRight w:val="0"/>
      <w:marTop w:val="0"/>
      <w:marBottom w:val="0"/>
      <w:divBdr>
        <w:top w:val="none" w:sz="0" w:space="0" w:color="auto"/>
        <w:left w:val="none" w:sz="0" w:space="0" w:color="auto"/>
        <w:bottom w:val="none" w:sz="0" w:space="0" w:color="auto"/>
        <w:right w:val="none" w:sz="0" w:space="0" w:color="auto"/>
      </w:divBdr>
    </w:div>
    <w:div w:id="1499537328">
      <w:bodyDiv w:val="1"/>
      <w:marLeft w:val="0"/>
      <w:marRight w:val="0"/>
      <w:marTop w:val="0"/>
      <w:marBottom w:val="0"/>
      <w:divBdr>
        <w:top w:val="none" w:sz="0" w:space="0" w:color="auto"/>
        <w:left w:val="none" w:sz="0" w:space="0" w:color="auto"/>
        <w:bottom w:val="none" w:sz="0" w:space="0" w:color="auto"/>
        <w:right w:val="none" w:sz="0" w:space="0" w:color="auto"/>
      </w:divBdr>
      <w:divsChild>
        <w:div w:id="547452237">
          <w:marLeft w:val="0"/>
          <w:marRight w:val="0"/>
          <w:marTop w:val="0"/>
          <w:marBottom w:val="0"/>
          <w:divBdr>
            <w:top w:val="none" w:sz="0" w:space="0" w:color="auto"/>
            <w:left w:val="none" w:sz="0" w:space="0" w:color="auto"/>
            <w:bottom w:val="none" w:sz="0" w:space="0" w:color="auto"/>
            <w:right w:val="none" w:sz="0" w:space="0" w:color="auto"/>
          </w:divBdr>
        </w:div>
        <w:div w:id="1134106611">
          <w:marLeft w:val="0"/>
          <w:marRight w:val="0"/>
          <w:marTop w:val="0"/>
          <w:marBottom w:val="0"/>
          <w:divBdr>
            <w:top w:val="none" w:sz="0" w:space="0" w:color="auto"/>
            <w:left w:val="none" w:sz="0" w:space="0" w:color="auto"/>
            <w:bottom w:val="none" w:sz="0" w:space="0" w:color="auto"/>
            <w:right w:val="none" w:sz="0" w:space="0" w:color="auto"/>
          </w:divBdr>
        </w:div>
      </w:divsChild>
    </w:div>
    <w:div w:id="1689136653">
      <w:bodyDiv w:val="1"/>
      <w:marLeft w:val="0"/>
      <w:marRight w:val="0"/>
      <w:marTop w:val="0"/>
      <w:marBottom w:val="0"/>
      <w:divBdr>
        <w:top w:val="none" w:sz="0" w:space="0" w:color="auto"/>
        <w:left w:val="none" w:sz="0" w:space="0" w:color="auto"/>
        <w:bottom w:val="none" w:sz="0" w:space="0" w:color="auto"/>
        <w:right w:val="none" w:sz="0" w:space="0" w:color="auto"/>
      </w:divBdr>
      <w:divsChild>
        <w:div w:id="1629625886">
          <w:marLeft w:val="0"/>
          <w:marRight w:val="0"/>
          <w:marTop w:val="0"/>
          <w:marBottom w:val="0"/>
          <w:divBdr>
            <w:top w:val="none" w:sz="0" w:space="0" w:color="auto"/>
            <w:left w:val="none" w:sz="0" w:space="0" w:color="auto"/>
            <w:bottom w:val="none" w:sz="0" w:space="0" w:color="auto"/>
            <w:right w:val="none" w:sz="0" w:space="0" w:color="auto"/>
          </w:divBdr>
          <w:divsChild>
            <w:div w:id="784613673">
              <w:marLeft w:val="37"/>
              <w:marRight w:val="37"/>
              <w:marTop w:val="0"/>
              <w:marBottom w:val="0"/>
              <w:divBdr>
                <w:top w:val="none" w:sz="0" w:space="0" w:color="auto"/>
                <w:left w:val="single" w:sz="8" w:space="14" w:color="9C9C9C"/>
                <w:bottom w:val="single" w:sz="8" w:space="1" w:color="9C9C9C"/>
                <w:right w:val="single" w:sz="8" w:space="1" w:color="9C9C9C"/>
              </w:divBdr>
              <w:divsChild>
                <w:div w:id="378096646">
                  <w:marLeft w:val="0"/>
                  <w:marRight w:val="0"/>
                  <w:marTop w:val="0"/>
                  <w:marBottom w:val="0"/>
                  <w:divBdr>
                    <w:top w:val="none" w:sz="0" w:space="0" w:color="auto"/>
                    <w:left w:val="none" w:sz="0" w:space="0" w:color="auto"/>
                    <w:bottom w:val="none" w:sz="0" w:space="0" w:color="auto"/>
                    <w:right w:val="none" w:sz="0" w:space="0" w:color="auto"/>
                  </w:divBdr>
                  <w:divsChild>
                    <w:div w:id="1705642455">
                      <w:marLeft w:val="0"/>
                      <w:marRight w:val="0"/>
                      <w:marTop w:val="0"/>
                      <w:marBottom w:val="0"/>
                      <w:divBdr>
                        <w:top w:val="none" w:sz="0" w:space="0" w:color="auto"/>
                        <w:left w:val="none" w:sz="0" w:space="0" w:color="auto"/>
                        <w:bottom w:val="none" w:sz="0" w:space="0" w:color="auto"/>
                        <w:right w:val="none" w:sz="0" w:space="0" w:color="auto"/>
                      </w:divBdr>
                      <w:divsChild>
                        <w:div w:id="164057683">
                          <w:marLeft w:val="0"/>
                          <w:marRight w:val="0"/>
                          <w:marTop w:val="0"/>
                          <w:marBottom w:val="0"/>
                          <w:divBdr>
                            <w:top w:val="none" w:sz="0" w:space="0" w:color="auto"/>
                            <w:left w:val="none" w:sz="0" w:space="0" w:color="auto"/>
                            <w:bottom w:val="none" w:sz="0" w:space="0" w:color="auto"/>
                            <w:right w:val="none" w:sz="0" w:space="0" w:color="auto"/>
                          </w:divBdr>
                          <w:divsChild>
                            <w:div w:id="657541966">
                              <w:marLeft w:val="0"/>
                              <w:marRight w:val="0"/>
                              <w:marTop w:val="0"/>
                              <w:marBottom w:val="0"/>
                              <w:divBdr>
                                <w:top w:val="none" w:sz="0" w:space="0" w:color="auto"/>
                                <w:left w:val="none" w:sz="0" w:space="0" w:color="auto"/>
                                <w:bottom w:val="none" w:sz="0" w:space="0" w:color="auto"/>
                                <w:right w:val="none" w:sz="0" w:space="0" w:color="auto"/>
                              </w:divBdr>
                              <w:divsChild>
                                <w:div w:id="550846387">
                                  <w:marLeft w:val="0"/>
                                  <w:marRight w:val="0"/>
                                  <w:marTop w:val="0"/>
                                  <w:marBottom w:val="0"/>
                                  <w:divBdr>
                                    <w:top w:val="none" w:sz="0" w:space="0" w:color="auto"/>
                                    <w:left w:val="none" w:sz="0" w:space="0" w:color="auto"/>
                                    <w:bottom w:val="none" w:sz="0" w:space="0" w:color="auto"/>
                                    <w:right w:val="none" w:sz="0" w:space="0" w:color="auto"/>
                                  </w:divBdr>
                                </w:div>
                                <w:div w:id="1397318766">
                                  <w:marLeft w:val="0"/>
                                  <w:marRight w:val="0"/>
                                  <w:marTop w:val="0"/>
                                  <w:marBottom w:val="0"/>
                                  <w:divBdr>
                                    <w:top w:val="none" w:sz="0" w:space="0" w:color="auto"/>
                                    <w:left w:val="none" w:sz="0" w:space="0" w:color="auto"/>
                                    <w:bottom w:val="none" w:sz="0" w:space="0" w:color="auto"/>
                                    <w:right w:val="none" w:sz="0" w:space="0" w:color="auto"/>
                                  </w:divBdr>
                                </w:div>
                                <w:div w:id="18322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5265">
      <w:bodyDiv w:val="1"/>
      <w:marLeft w:val="0"/>
      <w:marRight w:val="0"/>
      <w:marTop w:val="0"/>
      <w:marBottom w:val="0"/>
      <w:divBdr>
        <w:top w:val="none" w:sz="0" w:space="0" w:color="auto"/>
        <w:left w:val="none" w:sz="0" w:space="0" w:color="auto"/>
        <w:bottom w:val="none" w:sz="0" w:space="0" w:color="auto"/>
        <w:right w:val="none" w:sz="0" w:space="0" w:color="auto"/>
      </w:divBdr>
    </w:div>
    <w:div w:id="1825732337">
      <w:bodyDiv w:val="1"/>
      <w:marLeft w:val="0"/>
      <w:marRight w:val="0"/>
      <w:marTop w:val="0"/>
      <w:marBottom w:val="0"/>
      <w:divBdr>
        <w:top w:val="none" w:sz="0" w:space="0" w:color="auto"/>
        <w:left w:val="none" w:sz="0" w:space="0" w:color="auto"/>
        <w:bottom w:val="none" w:sz="0" w:space="0" w:color="auto"/>
        <w:right w:val="none" w:sz="0" w:space="0" w:color="auto"/>
      </w:divBdr>
    </w:div>
    <w:div w:id="19555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entro%20Tamar\Downloads\Manifesta&#231;&#245;es%20Gerais-2021%20(1)%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entro%20Tamar\Downloads\Manifesta&#231;&#245;es%20Gerais-2021%20(1)%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a:t>Licenciamento 2014 - 2021</a:t>
            </a:r>
          </a:p>
          <a:p>
            <a:pPr>
              <a:defRPr sz="1200"/>
            </a:pPr>
            <a:r>
              <a:rPr lang="pt-BR" sz="1200"/>
              <a:t>N</a:t>
            </a:r>
            <a:r>
              <a:rPr lang="pt-BR" sz="1200" baseline="0"/>
              <a:t>= 313</a:t>
            </a:r>
            <a:endParaRPr lang="pt-BR" sz="1200"/>
          </a:p>
        </c:rich>
      </c:tx>
      <c:layout>
        <c:manualLayout>
          <c:xMode val="edge"/>
          <c:yMode val="edge"/>
          <c:x val="0.34188259005585248"/>
          <c:y val="4.3431053203040172E-2"/>
        </c:manualLayout>
      </c:layout>
      <c:overlay val="0"/>
    </c:title>
    <c:autoTitleDeleted val="0"/>
    <c:plotArea>
      <c:layout>
        <c:manualLayout>
          <c:layoutTarget val="inner"/>
          <c:xMode val="edge"/>
          <c:yMode val="edge"/>
          <c:x val="7.7602070491274211E-2"/>
          <c:y val="0.20483179016303743"/>
          <c:w val="0.88814744429351855"/>
          <c:h val="0.58792616720955493"/>
        </c:manualLayout>
      </c:layout>
      <c:barChart>
        <c:barDir val="col"/>
        <c:grouping val="stacked"/>
        <c:varyColors val="0"/>
        <c:ser>
          <c:idx val="0"/>
          <c:order val="0"/>
          <c:tx>
            <c:strRef>
              <c:f>Plan1!$A$21</c:f>
              <c:strCache>
                <c:ptCount val="1"/>
                <c:pt idx="0">
                  <c:v>Hotelaria</c:v>
                </c:pt>
              </c:strCache>
            </c:strRef>
          </c:tx>
          <c:spPr>
            <a:solidFill>
              <a:srgbClr val="9900CC"/>
            </a:solidFill>
          </c:spPr>
          <c:invertIfNegative val="0"/>
          <c:cat>
            <c:numRef>
              <c:f>Plan1!$M$20:$T$20</c:f>
              <c:numCache>
                <c:formatCode>General</c:formatCode>
                <c:ptCount val="8"/>
                <c:pt idx="0">
                  <c:v>2014</c:v>
                </c:pt>
                <c:pt idx="1">
                  <c:v>2015</c:v>
                </c:pt>
                <c:pt idx="2">
                  <c:v>2016</c:v>
                </c:pt>
                <c:pt idx="3">
                  <c:v>2017</c:v>
                </c:pt>
                <c:pt idx="4">
                  <c:v>2018</c:v>
                </c:pt>
                <c:pt idx="5">
                  <c:v>2019</c:v>
                </c:pt>
                <c:pt idx="6">
                  <c:v>2020</c:v>
                </c:pt>
                <c:pt idx="7">
                  <c:v>2021</c:v>
                </c:pt>
              </c:numCache>
            </c:numRef>
          </c:cat>
          <c:val>
            <c:numRef>
              <c:f>Plan1!$M$21:$T$21</c:f>
              <c:numCache>
                <c:formatCode>General</c:formatCode>
                <c:ptCount val="8"/>
                <c:pt idx="0">
                  <c:v>5</c:v>
                </c:pt>
                <c:pt idx="1">
                  <c:v>6</c:v>
                </c:pt>
                <c:pt idx="2">
                  <c:v>14</c:v>
                </c:pt>
                <c:pt idx="3">
                  <c:v>12</c:v>
                </c:pt>
                <c:pt idx="4">
                  <c:v>19</c:v>
                </c:pt>
                <c:pt idx="5">
                  <c:v>20</c:v>
                </c:pt>
                <c:pt idx="6">
                  <c:v>6</c:v>
                </c:pt>
                <c:pt idx="7">
                  <c:v>39</c:v>
                </c:pt>
              </c:numCache>
            </c:numRef>
          </c:val>
          <c:extLst>
            <c:ext xmlns:c16="http://schemas.microsoft.com/office/drawing/2014/chart" uri="{C3380CC4-5D6E-409C-BE32-E72D297353CC}">
              <c16:uniqueId val="{00000000-A7F3-48F2-8B5A-D600E0CD990C}"/>
            </c:ext>
          </c:extLst>
        </c:ser>
        <c:ser>
          <c:idx val="1"/>
          <c:order val="1"/>
          <c:tx>
            <c:strRef>
              <c:f>Plan1!$A$22</c:f>
              <c:strCache>
                <c:ptCount val="1"/>
                <c:pt idx="0">
                  <c:v>Óleo e Gás</c:v>
                </c:pt>
              </c:strCache>
            </c:strRef>
          </c:tx>
          <c:spPr>
            <a:solidFill>
              <a:srgbClr val="00CC00"/>
            </a:solidFill>
          </c:spPr>
          <c:invertIfNegative val="0"/>
          <c:cat>
            <c:numRef>
              <c:f>Plan1!$M$20:$T$20</c:f>
              <c:numCache>
                <c:formatCode>General</c:formatCode>
                <c:ptCount val="8"/>
                <c:pt idx="0">
                  <c:v>2014</c:v>
                </c:pt>
                <c:pt idx="1">
                  <c:v>2015</c:v>
                </c:pt>
                <c:pt idx="2">
                  <c:v>2016</c:v>
                </c:pt>
                <c:pt idx="3">
                  <c:v>2017</c:v>
                </c:pt>
                <c:pt idx="4">
                  <c:v>2018</c:v>
                </c:pt>
                <c:pt idx="5">
                  <c:v>2019</c:v>
                </c:pt>
                <c:pt idx="6">
                  <c:v>2020</c:v>
                </c:pt>
                <c:pt idx="7">
                  <c:v>2021</c:v>
                </c:pt>
              </c:numCache>
            </c:numRef>
          </c:cat>
          <c:val>
            <c:numRef>
              <c:f>Plan1!$M$22:$T$22</c:f>
              <c:numCache>
                <c:formatCode>General</c:formatCode>
                <c:ptCount val="8"/>
                <c:pt idx="0">
                  <c:v>2</c:v>
                </c:pt>
                <c:pt idx="1">
                  <c:v>3</c:v>
                </c:pt>
                <c:pt idx="2">
                  <c:v>3</c:v>
                </c:pt>
                <c:pt idx="3">
                  <c:v>6</c:v>
                </c:pt>
                <c:pt idx="4">
                  <c:v>5</c:v>
                </c:pt>
                <c:pt idx="5">
                  <c:v>7</c:v>
                </c:pt>
                <c:pt idx="6">
                  <c:v>3</c:v>
                </c:pt>
                <c:pt idx="7">
                  <c:v>7</c:v>
                </c:pt>
              </c:numCache>
            </c:numRef>
          </c:val>
          <c:extLst>
            <c:ext xmlns:c16="http://schemas.microsoft.com/office/drawing/2014/chart" uri="{C3380CC4-5D6E-409C-BE32-E72D297353CC}">
              <c16:uniqueId val="{00000001-A7F3-48F2-8B5A-D600E0CD990C}"/>
            </c:ext>
          </c:extLst>
        </c:ser>
        <c:ser>
          <c:idx val="2"/>
          <c:order val="2"/>
          <c:tx>
            <c:strRef>
              <c:f>Plan1!$A$23</c:f>
              <c:strCache>
                <c:ptCount val="1"/>
                <c:pt idx="0">
                  <c:v>Portos</c:v>
                </c:pt>
              </c:strCache>
            </c:strRef>
          </c:tx>
          <c:spPr>
            <a:solidFill>
              <a:srgbClr val="C00000"/>
            </a:solidFill>
          </c:spPr>
          <c:invertIfNegative val="0"/>
          <c:cat>
            <c:numRef>
              <c:f>Plan1!$M$20:$T$20</c:f>
              <c:numCache>
                <c:formatCode>General</c:formatCode>
                <c:ptCount val="8"/>
                <c:pt idx="0">
                  <c:v>2014</c:v>
                </c:pt>
                <c:pt idx="1">
                  <c:v>2015</c:v>
                </c:pt>
                <c:pt idx="2">
                  <c:v>2016</c:v>
                </c:pt>
                <c:pt idx="3">
                  <c:v>2017</c:v>
                </c:pt>
                <c:pt idx="4">
                  <c:v>2018</c:v>
                </c:pt>
                <c:pt idx="5">
                  <c:v>2019</c:v>
                </c:pt>
                <c:pt idx="6">
                  <c:v>2020</c:v>
                </c:pt>
                <c:pt idx="7">
                  <c:v>2021</c:v>
                </c:pt>
              </c:numCache>
            </c:numRef>
          </c:cat>
          <c:val>
            <c:numRef>
              <c:f>Plan1!$M$23:$T$23</c:f>
              <c:numCache>
                <c:formatCode>General</c:formatCode>
                <c:ptCount val="8"/>
                <c:pt idx="0">
                  <c:v>10</c:v>
                </c:pt>
                <c:pt idx="1">
                  <c:v>4</c:v>
                </c:pt>
                <c:pt idx="2">
                  <c:v>5</c:v>
                </c:pt>
                <c:pt idx="3">
                  <c:v>3</c:v>
                </c:pt>
                <c:pt idx="4">
                  <c:v>3</c:v>
                </c:pt>
                <c:pt idx="5">
                  <c:v>2</c:v>
                </c:pt>
                <c:pt idx="6">
                  <c:v>7</c:v>
                </c:pt>
                <c:pt idx="7">
                  <c:v>5</c:v>
                </c:pt>
              </c:numCache>
            </c:numRef>
          </c:val>
          <c:extLst>
            <c:ext xmlns:c16="http://schemas.microsoft.com/office/drawing/2014/chart" uri="{C3380CC4-5D6E-409C-BE32-E72D297353CC}">
              <c16:uniqueId val="{00000002-A7F3-48F2-8B5A-D600E0CD990C}"/>
            </c:ext>
          </c:extLst>
        </c:ser>
        <c:ser>
          <c:idx val="3"/>
          <c:order val="3"/>
          <c:tx>
            <c:strRef>
              <c:f>Plan1!$A$24</c:f>
              <c:strCache>
                <c:ptCount val="1"/>
                <c:pt idx="0">
                  <c:v>Sísmica</c:v>
                </c:pt>
              </c:strCache>
            </c:strRef>
          </c:tx>
          <c:spPr>
            <a:solidFill>
              <a:srgbClr val="0033CC"/>
            </a:solidFill>
          </c:spPr>
          <c:invertIfNegative val="0"/>
          <c:cat>
            <c:numRef>
              <c:f>Plan1!$M$20:$T$20</c:f>
              <c:numCache>
                <c:formatCode>General</c:formatCode>
                <c:ptCount val="8"/>
                <c:pt idx="0">
                  <c:v>2014</c:v>
                </c:pt>
                <c:pt idx="1">
                  <c:v>2015</c:v>
                </c:pt>
                <c:pt idx="2">
                  <c:v>2016</c:v>
                </c:pt>
                <c:pt idx="3">
                  <c:v>2017</c:v>
                </c:pt>
                <c:pt idx="4">
                  <c:v>2018</c:v>
                </c:pt>
                <c:pt idx="5">
                  <c:v>2019</c:v>
                </c:pt>
                <c:pt idx="6">
                  <c:v>2020</c:v>
                </c:pt>
                <c:pt idx="7">
                  <c:v>2021</c:v>
                </c:pt>
              </c:numCache>
            </c:numRef>
          </c:cat>
          <c:val>
            <c:numRef>
              <c:f>Plan1!$M$24:$T$24</c:f>
              <c:numCache>
                <c:formatCode>General</c:formatCode>
                <c:ptCount val="8"/>
                <c:pt idx="0">
                  <c:v>1</c:v>
                </c:pt>
                <c:pt idx="1">
                  <c:v>0</c:v>
                </c:pt>
                <c:pt idx="2">
                  <c:v>0</c:v>
                </c:pt>
                <c:pt idx="3">
                  <c:v>0</c:v>
                </c:pt>
                <c:pt idx="4">
                  <c:v>1</c:v>
                </c:pt>
                <c:pt idx="5">
                  <c:v>0</c:v>
                </c:pt>
                <c:pt idx="6">
                  <c:v>2</c:v>
                </c:pt>
                <c:pt idx="7">
                  <c:v>1</c:v>
                </c:pt>
              </c:numCache>
            </c:numRef>
          </c:val>
          <c:extLst>
            <c:ext xmlns:c16="http://schemas.microsoft.com/office/drawing/2014/chart" uri="{C3380CC4-5D6E-409C-BE32-E72D297353CC}">
              <c16:uniqueId val="{00000003-A7F3-48F2-8B5A-D600E0CD990C}"/>
            </c:ext>
          </c:extLst>
        </c:ser>
        <c:ser>
          <c:idx val="4"/>
          <c:order val="4"/>
          <c:tx>
            <c:strRef>
              <c:f>Plan1!$A$25</c:f>
              <c:strCache>
                <c:ptCount val="1"/>
                <c:pt idx="0">
                  <c:v>Legislação</c:v>
                </c:pt>
              </c:strCache>
            </c:strRef>
          </c:tx>
          <c:spPr>
            <a:solidFill>
              <a:schemeClr val="tx2">
                <a:lumMod val="40000"/>
                <a:lumOff val="60000"/>
              </a:schemeClr>
            </a:solidFill>
          </c:spPr>
          <c:invertIfNegative val="0"/>
          <c:cat>
            <c:numRef>
              <c:f>Plan1!$M$20:$T$20</c:f>
              <c:numCache>
                <c:formatCode>General</c:formatCode>
                <c:ptCount val="8"/>
                <c:pt idx="0">
                  <c:v>2014</c:v>
                </c:pt>
                <c:pt idx="1">
                  <c:v>2015</c:v>
                </c:pt>
                <c:pt idx="2">
                  <c:v>2016</c:v>
                </c:pt>
                <c:pt idx="3">
                  <c:v>2017</c:v>
                </c:pt>
                <c:pt idx="4">
                  <c:v>2018</c:v>
                </c:pt>
                <c:pt idx="5">
                  <c:v>2019</c:v>
                </c:pt>
                <c:pt idx="6">
                  <c:v>2020</c:v>
                </c:pt>
                <c:pt idx="7">
                  <c:v>2021</c:v>
                </c:pt>
              </c:numCache>
            </c:numRef>
          </c:cat>
          <c:val>
            <c:numRef>
              <c:f>Plan1!$M$25:$T$25</c:f>
              <c:numCache>
                <c:formatCode>General</c:formatCode>
                <c:ptCount val="8"/>
                <c:pt idx="7">
                  <c:v>3</c:v>
                </c:pt>
              </c:numCache>
            </c:numRef>
          </c:val>
          <c:extLst>
            <c:ext xmlns:c16="http://schemas.microsoft.com/office/drawing/2014/chart" uri="{C3380CC4-5D6E-409C-BE32-E72D297353CC}">
              <c16:uniqueId val="{00000004-A7F3-48F2-8B5A-D600E0CD990C}"/>
            </c:ext>
          </c:extLst>
        </c:ser>
        <c:ser>
          <c:idx val="5"/>
          <c:order val="5"/>
          <c:tx>
            <c:strRef>
              <c:f>Plan1!$A$26</c:f>
              <c:strCache>
                <c:ptCount val="1"/>
                <c:pt idx="0">
                  <c:v>Urbanização</c:v>
                </c:pt>
              </c:strCache>
            </c:strRef>
          </c:tx>
          <c:spPr>
            <a:solidFill>
              <a:srgbClr val="E9CE05"/>
            </a:solidFill>
          </c:spPr>
          <c:invertIfNegative val="0"/>
          <c:cat>
            <c:numRef>
              <c:f>Plan1!$M$20:$T$20</c:f>
              <c:numCache>
                <c:formatCode>General</c:formatCode>
                <c:ptCount val="8"/>
                <c:pt idx="0">
                  <c:v>2014</c:v>
                </c:pt>
                <c:pt idx="1">
                  <c:v>2015</c:v>
                </c:pt>
                <c:pt idx="2">
                  <c:v>2016</c:v>
                </c:pt>
                <c:pt idx="3">
                  <c:v>2017</c:v>
                </c:pt>
                <c:pt idx="4">
                  <c:v>2018</c:v>
                </c:pt>
                <c:pt idx="5">
                  <c:v>2019</c:v>
                </c:pt>
                <c:pt idx="6">
                  <c:v>2020</c:v>
                </c:pt>
                <c:pt idx="7">
                  <c:v>2021</c:v>
                </c:pt>
              </c:numCache>
            </c:numRef>
          </c:cat>
          <c:val>
            <c:numRef>
              <c:f>Plan1!$M$26:$T$26</c:f>
              <c:numCache>
                <c:formatCode>General</c:formatCode>
                <c:ptCount val="8"/>
                <c:pt idx="7">
                  <c:v>13</c:v>
                </c:pt>
              </c:numCache>
            </c:numRef>
          </c:val>
          <c:extLst>
            <c:ext xmlns:c16="http://schemas.microsoft.com/office/drawing/2014/chart" uri="{C3380CC4-5D6E-409C-BE32-E72D297353CC}">
              <c16:uniqueId val="{00000005-A7F3-48F2-8B5A-D600E0CD990C}"/>
            </c:ext>
          </c:extLst>
        </c:ser>
        <c:ser>
          <c:idx val="6"/>
          <c:order val="6"/>
          <c:tx>
            <c:strRef>
              <c:f>Plan1!$A$27</c:f>
              <c:strCache>
                <c:ptCount val="1"/>
                <c:pt idx="0">
                  <c:v>Termoelétrica</c:v>
                </c:pt>
              </c:strCache>
            </c:strRef>
          </c:tx>
          <c:spPr>
            <a:solidFill>
              <a:schemeClr val="tx1"/>
            </a:solidFill>
          </c:spPr>
          <c:invertIfNegative val="0"/>
          <c:cat>
            <c:numRef>
              <c:f>Plan1!$M$20:$T$20</c:f>
              <c:numCache>
                <c:formatCode>General</c:formatCode>
                <c:ptCount val="8"/>
                <c:pt idx="0">
                  <c:v>2014</c:v>
                </c:pt>
                <c:pt idx="1">
                  <c:v>2015</c:v>
                </c:pt>
                <c:pt idx="2">
                  <c:v>2016</c:v>
                </c:pt>
                <c:pt idx="3">
                  <c:v>2017</c:v>
                </c:pt>
                <c:pt idx="4">
                  <c:v>2018</c:v>
                </c:pt>
                <c:pt idx="5">
                  <c:v>2019</c:v>
                </c:pt>
                <c:pt idx="6">
                  <c:v>2020</c:v>
                </c:pt>
                <c:pt idx="7">
                  <c:v>2021</c:v>
                </c:pt>
              </c:numCache>
            </c:numRef>
          </c:cat>
          <c:val>
            <c:numRef>
              <c:f>Plan1!$M$27:$T$27</c:f>
              <c:numCache>
                <c:formatCode>General</c:formatCode>
                <c:ptCount val="8"/>
                <c:pt idx="7">
                  <c:v>3</c:v>
                </c:pt>
              </c:numCache>
            </c:numRef>
          </c:val>
          <c:extLst>
            <c:ext xmlns:c16="http://schemas.microsoft.com/office/drawing/2014/chart" uri="{C3380CC4-5D6E-409C-BE32-E72D297353CC}">
              <c16:uniqueId val="{00000006-A7F3-48F2-8B5A-D600E0CD990C}"/>
            </c:ext>
          </c:extLst>
        </c:ser>
        <c:ser>
          <c:idx val="7"/>
          <c:order val="7"/>
          <c:tx>
            <c:strRef>
              <c:f>Plan1!$A$28</c:f>
              <c:strCache>
                <c:ptCount val="1"/>
                <c:pt idx="0">
                  <c:v>Outros</c:v>
                </c:pt>
              </c:strCache>
            </c:strRef>
          </c:tx>
          <c:spPr>
            <a:solidFill>
              <a:schemeClr val="accent6">
                <a:lumMod val="75000"/>
              </a:schemeClr>
            </a:solidFill>
          </c:spPr>
          <c:invertIfNegative val="0"/>
          <c:cat>
            <c:numRef>
              <c:f>Plan1!$M$20:$T$20</c:f>
              <c:numCache>
                <c:formatCode>General</c:formatCode>
                <c:ptCount val="8"/>
                <c:pt idx="0">
                  <c:v>2014</c:v>
                </c:pt>
                <c:pt idx="1">
                  <c:v>2015</c:v>
                </c:pt>
                <c:pt idx="2">
                  <c:v>2016</c:v>
                </c:pt>
                <c:pt idx="3">
                  <c:v>2017</c:v>
                </c:pt>
                <c:pt idx="4">
                  <c:v>2018</c:v>
                </c:pt>
                <c:pt idx="5">
                  <c:v>2019</c:v>
                </c:pt>
                <c:pt idx="6">
                  <c:v>2020</c:v>
                </c:pt>
                <c:pt idx="7">
                  <c:v>2021</c:v>
                </c:pt>
              </c:numCache>
            </c:numRef>
          </c:cat>
          <c:val>
            <c:numRef>
              <c:f>Plan1!$M$28:$T$28</c:f>
              <c:numCache>
                <c:formatCode>General</c:formatCode>
                <c:ptCount val="8"/>
                <c:pt idx="0">
                  <c:v>8</c:v>
                </c:pt>
                <c:pt idx="1">
                  <c:v>8</c:v>
                </c:pt>
                <c:pt idx="2">
                  <c:v>9</c:v>
                </c:pt>
                <c:pt idx="3">
                  <c:v>5</c:v>
                </c:pt>
                <c:pt idx="4">
                  <c:v>17</c:v>
                </c:pt>
                <c:pt idx="5">
                  <c:v>23</c:v>
                </c:pt>
                <c:pt idx="6">
                  <c:v>15</c:v>
                </c:pt>
                <c:pt idx="7">
                  <c:v>8</c:v>
                </c:pt>
              </c:numCache>
            </c:numRef>
          </c:val>
          <c:extLst>
            <c:ext xmlns:c16="http://schemas.microsoft.com/office/drawing/2014/chart" uri="{C3380CC4-5D6E-409C-BE32-E72D297353CC}">
              <c16:uniqueId val="{00000007-A7F3-48F2-8B5A-D600E0CD990C}"/>
            </c:ext>
          </c:extLst>
        </c:ser>
        <c:dLbls>
          <c:showLegendKey val="0"/>
          <c:showVal val="0"/>
          <c:showCatName val="0"/>
          <c:showSerName val="0"/>
          <c:showPercent val="0"/>
          <c:showBubbleSize val="0"/>
        </c:dLbls>
        <c:gapWidth val="150"/>
        <c:overlap val="100"/>
        <c:axId val="196209664"/>
        <c:axId val="278856448"/>
      </c:barChart>
      <c:catAx>
        <c:axId val="196209664"/>
        <c:scaling>
          <c:orientation val="minMax"/>
        </c:scaling>
        <c:delete val="0"/>
        <c:axPos val="b"/>
        <c:numFmt formatCode="General" sourceLinked="1"/>
        <c:majorTickMark val="out"/>
        <c:minorTickMark val="none"/>
        <c:tickLblPos val="nextTo"/>
        <c:crossAx val="278856448"/>
        <c:crosses val="autoZero"/>
        <c:auto val="1"/>
        <c:lblAlgn val="ctr"/>
        <c:lblOffset val="100"/>
        <c:noMultiLvlLbl val="0"/>
      </c:catAx>
      <c:valAx>
        <c:axId val="278856448"/>
        <c:scaling>
          <c:orientation val="minMax"/>
        </c:scaling>
        <c:delete val="0"/>
        <c:axPos val="l"/>
        <c:majorGridlines/>
        <c:numFmt formatCode="General" sourceLinked="1"/>
        <c:majorTickMark val="out"/>
        <c:minorTickMark val="none"/>
        <c:tickLblPos val="nextTo"/>
        <c:crossAx val="196209664"/>
        <c:crosses val="autoZero"/>
        <c:crossBetween val="between"/>
      </c:valAx>
    </c:plotArea>
    <c:legend>
      <c:legendPos val="b"/>
      <c:layout>
        <c:manualLayout>
          <c:xMode val="edge"/>
          <c:yMode val="edge"/>
          <c:x val="2.3182454402356067E-3"/>
          <c:y val="0.88418750587772621"/>
          <c:w val="0.98622986660290024"/>
          <c:h val="8.9753862200449674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Manifestações</a:t>
            </a:r>
            <a:r>
              <a:rPr lang="en-US" sz="1100" baseline="0"/>
              <a:t> emitidas por Regional e Tipo - 2021</a:t>
            </a:r>
          </a:p>
          <a:p>
            <a:pPr>
              <a:defRPr sz="1100"/>
            </a:pPr>
            <a:r>
              <a:rPr lang="en-US" sz="1100" baseline="0"/>
              <a:t>N= 79</a:t>
            </a:r>
            <a:endParaRPr lang="en-US" sz="1100"/>
          </a:p>
        </c:rich>
      </c:tx>
      <c:overlay val="0"/>
    </c:title>
    <c:autoTitleDeleted val="0"/>
    <c:plotArea>
      <c:layout>
        <c:manualLayout>
          <c:layoutTarget val="inner"/>
          <c:xMode val="edge"/>
          <c:yMode val="edge"/>
          <c:x val="9.6724130413930812E-2"/>
          <c:y val="0.17124274099883857"/>
          <c:w val="0.86768340004011124"/>
          <c:h val="0.65159318499821672"/>
        </c:manualLayout>
      </c:layout>
      <c:barChart>
        <c:barDir val="bar"/>
        <c:grouping val="stacked"/>
        <c:varyColors val="0"/>
        <c:ser>
          <c:idx val="0"/>
          <c:order val="0"/>
          <c:tx>
            <c:strRef>
              <c:f>Plan1!$A$3</c:f>
              <c:strCache>
                <c:ptCount val="1"/>
                <c:pt idx="0">
                  <c:v>Hotelaria</c:v>
                </c:pt>
              </c:strCache>
            </c:strRef>
          </c:tx>
          <c:spPr>
            <a:solidFill>
              <a:srgbClr val="9900CC"/>
            </a:solidFill>
          </c:spPr>
          <c:invertIfNegative val="0"/>
          <c:cat>
            <c:strRef>
              <c:f>Plan1!$B$2:$F$2</c:f>
              <c:strCache>
                <c:ptCount val="5"/>
                <c:pt idx="0">
                  <c:v>Outros</c:v>
                </c:pt>
                <c:pt idx="1">
                  <c:v>RJ</c:v>
                </c:pt>
                <c:pt idx="2">
                  <c:v>ES</c:v>
                </c:pt>
                <c:pt idx="3">
                  <c:v>SE</c:v>
                </c:pt>
                <c:pt idx="4">
                  <c:v>BA</c:v>
                </c:pt>
              </c:strCache>
            </c:strRef>
          </c:cat>
          <c:val>
            <c:numRef>
              <c:f>Plan1!$B$3:$F$3</c:f>
              <c:numCache>
                <c:formatCode>General</c:formatCode>
                <c:ptCount val="5"/>
                <c:pt idx="0">
                  <c:v>0</c:v>
                </c:pt>
                <c:pt idx="1">
                  <c:v>0</c:v>
                </c:pt>
                <c:pt idx="2">
                  <c:v>7</c:v>
                </c:pt>
                <c:pt idx="3">
                  <c:v>3</c:v>
                </c:pt>
                <c:pt idx="4">
                  <c:v>29</c:v>
                </c:pt>
              </c:numCache>
            </c:numRef>
          </c:val>
          <c:extLst>
            <c:ext xmlns:c16="http://schemas.microsoft.com/office/drawing/2014/chart" uri="{C3380CC4-5D6E-409C-BE32-E72D297353CC}">
              <c16:uniqueId val="{00000000-92CF-4DA7-BA68-434943F14BEB}"/>
            </c:ext>
          </c:extLst>
        </c:ser>
        <c:ser>
          <c:idx val="1"/>
          <c:order val="1"/>
          <c:tx>
            <c:strRef>
              <c:f>Plan1!$A$4</c:f>
              <c:strCache>
                <c:ptCount val="1"/>
                <c:pt idx="0">
                  <c:v>Óleo e Gás</c:v>
                </c:pt>
              </c:strCache>
            </c:strRef>
          </c:tx>
          <c:spPr>
            <a:solidFill>
              <a:srgbClr val="00CC00"/>
            </a:solidFill>
          </c:spPr>
          <c:invertIfNegative val="0"/>
          <c:cat>
            <c:strRef>
              <c:f>Plan1!$B$2:$F$2</c:f>
              <c:strCache>
                <c:ptCount val="5"/>
                <c:pt idx="0">
                  <c:v>Outros</c:v>
                </c:pt>
                <c:pt idx="1">
                  <c:v>RJ</c:v>
                </c:pt>
                <c:pt idx="2">
                  <c:v>ES</c:v>
                </c:pt>
                <c:pt idx="3">
                  <c:v>SE</c:v>
                </c:pt>
                <c:pt idx="4">
                  <c:v>BA</c:v>
                </c:pt>
              </c:strCache>
            </c:strRef>
          </c:cat>
          <c:val>
            <c:numRef>
              <c:f>Plan1!$B$4:$F$4</c:f>
              <c:numCache>
                <c:formatCode>General</c:formatCode>
                <c:ptCount val="5"/>
                <c:pt idx="0">
                  <c:v>1</c:v>
                </c:pt>
                <c:pt idx="1">
                  <c:v>1</c:v>
                </c:pt>
                <c:pt idx="2">
                  <c:v>0</c:v>
                </c:pt>
                <c:pt idx="3">
                  <c:v>5</c:v>
                </c:pt>
                <c:pt idx="4">
                  <c:v>0</c:v>
                </c:pt>
              </c:numCache>
            </c:numRef>
          </c:val>
          <c:extLst>
            <c:ext xmlns:c16="http://schemas.microsoft.com/office/drawing/2014/chart" uri="{C3380CC4-5D6E-409C-BE32-E72D297353CC}">
              <c16:uniqueId val="{00000001-92CF-4DA7-BA68-434943F14BEB}"/>
            </c:ext>
          </c:extLst>
        </c:ser>
        <c:ser>
          <c:idx val="2"/>
          <c:order val="2"/>
          <c:tx>
            <c:strRef>
              <c:f>Plan1!$A$5</c:f>
              <c:strCache>
                <c:ptCount val="1"/>
                <c:pt idx="0">
                  <c:v>Portos</c:v>
                </c:pt>
              </c:strCache>
            </c:strRef>
          </c:tx>
          <c:spPr>
            <a:solidFill>
              <a:srgbClr val="C00000"/>
            </a:solidFill>
          </c:spPr>
          <c:invertIfNegative val="0"/>
          <c:cat>
            <c:strRef>
              <c:f>Plan1!$B$2:$F$2</c:f>
              <c:strCache>
                <c:ptCount val="5"/>
                <c:pt idx="0">
                  <c:v>Outros</c:v>
                </c:pt>
                <c:pt idx="1">
                  <c:v>RJ</c:v>
                </c:pt>
                <c:pt idx="2">
                  <c:v>ES</c:v>
                </c:pt>
                <c:pt idx="3">
                  <c:v>SE</c:v>
                </c:pt>
                <c:pt idx="4">
                  <c:v>BA</c:v>
                </c:pt>
              </c:strCache>
            </c:strRef>
          </c:cat>
          <c:val>
            <c:numRef>
              <c:f>Plan1!$B$5:$F$5</c:f>
              <c:numCache>
                <c:formatCode>General</c:formatCode>
                <c:ptCount val="5"/>
                <c:pt idx="0">
                  <c:v>0</c:v>
                </c:pt>
                <c:pt idx="1">
                  <c:v>3</c:v>
                </c:pt>
                <c:pt idx="2">
                  <c:v>2</c:v>
                </c:pt>
                <c:pt idx="3">
                  <c:v>0</c:v>
                </c:pt>
                <c:pt idx="4">
                  <c:v>0</c:v>
                </c:pt>
              </c:numCache>
            </c:numRef>
          </c:val>
          <c:extLst>
            <c:ext xmlns:c16="http://schemas.microsoft.com/office/drawing/2014/chart" uri="{C3380CC4-5D6E-409C-BE32-E72D297353CC}">
              <c16:uniqueId val="{00000002-92CF-4DA7-BA68-434943F14BEB}"/>
            </c:ext>
          </c:extLst>
        </c:ser>
        <c:ser>
          <c:idx val="3"/>
          <c:order val="3"/>
          <c:tx>
            <c:strRef>
              <c:f>Plan1!$A$6</c:f>
              <c:strCache>
                <c:ptCount val="1"/>
                <c:pt idx="0">
                  <c:v>Sísmica</c:v>
                </c:pt>
              </c:strCache>
            </c:strRef>
          </c:tx>
          <c:spPr>
            <a:solidFill>
              <a:srgbClr val="0033CC"/>
            </a:solidFill>
          </c:spPr>
          <c:invertIfNegative val="0"/>
          <c:cat>
            <c:strRef>
              <c:f>Plan1!$B$2:$F$2</c:f>
              <c:strCache>
                <c:ptCount val="5"/>
                <c:pt idx="0">
                  <c:v>Outros</c:v>
                </c:pt>
                <c:pt idx="1">
                  <c:v>RJ</c:v>
                </c:pt>
                <c:pt idx="2">
                  <c:v>ES</c:v>
                </c:pt>
                <c:pt idx="3">
                  <c:v>SE</c:v>
                </c:pt>
                <c:pt idx="4">
                  <c:v>BA</c:v>
                </c:pt>
              </c:strCache>
            </c:strRef>
          </c:cat>
          <c:val>
            <c:numRef>
              <c:f>Plan1!$B$6:$F$6</c:f>
              <c:numCache>
                <c:formatCode>General</c:formatCode>
                <c:ptCount val="5"/>
                <c:pt idx="0">
                  <c:v>0</c:v>
                </c:pt>
                <c:pt idx="1">
                  <c:v>1</c:v>
                </c:pt>
                <c:pt idx="2">
                  <c:v>0</c:v>
                </c:pt>
                <c:pt idx="3">
                  <c:v>0</c:v>
                </c:pt>
                <c:pt idx="4">
                  <c:v>0</c:v>
                </c:pt>
              </c:numCache>
            </c:numRef>
          </c:val>
          <c:extLst>
            <c:ext xmlns:c16="http://schemas.microsoft.com/office/drawing/2014/chart" uri="{C3380CC4-5D6E-409C-BE32-E72D297353CC}">
              <c16:uniqueId val="{00000003-92CF-4DA7-BA68-434943F14BEB}"/>
            </c:ext>
          </c:extLst>
        </c:ser>
        <c:ser>
          <c:idx val="4"/>
          <c:order val="4"/>
          <c:tx>
            <c:strRef>
              <c:f>Plan1!$A$7</c:f>
              <c:strCache>
                <c:ptCount val="1"/>
                <c:pt idx="0">
                  <c:v>Legislação</c:v>
                </c:pt>
              </c:strCache>
            </c:strRef>
          </c:tx>
          <c:spPr>
            <a:solidFill>
              <a:schemeClr val="tx2">
                <a:lumMod val="40000"/>
                <a:lumOff val="60000"/>
              </a:schemeClr>
            </a:solidFill>
          </c:spPr>
          <c:invertIfNegative val="0"/>
          <c:cat>
            <c:strRef>
              <c:f>Plan1!$B$2:$F$2</c:f>
              <c:strCache>
                <c:ptCount val="5"/>
                <c:pt idx="0">
                  <c:v>Outros</c:v>
                </c:pt>
                <c:pt idx="1">
                  <c:v>RJ</c:v>
                </c:pt>
                <c:pt idx="2">
                  <c:v>ES</c:v>
                </c:pt>
                <c:pt idx="3">
                  <c:v>SE</c:v>
                </c:pt>
                <c:pt idx="4">
                  <c:v>BA</c:v>
                </c:pt>
              </c:strCache>
            </c:strRef>
          </c:cat>
          <c:val>
            <c:numRef>
              <c:f>Plan1!$B$7:$F$7</c:f>
              <c:numCache>
                <c:formatCode>General</c:formatCode>
                <c:ptCount val="5"/>
                <c:pt idx="0">
                  <c:v>3</c:v>
                </c:pt>
                <c:pt idx="1">
                  <c:v>0</c:v>
                </c:pt>
                <c:pt idx="2">
                  <c:v>0</c:v>
                </c:pt>
                <c:pt idx="3">
                  <c:v>0</c:v>
                </c:pt>
                <c:pt idx="4">
                  <c:v>0</c:v>
                </c:pt>
              </c:numCache>
            </c:numRef>
          </c:val>
          <c:extLst>
            <c:ext xmlns:c16="http://schemas.microsoft.com/office/drawing/2014/chart" uri="{C3380CC4-5D6E-409C-BE32-E72D297353CC}">
              <c16:uniqueId val="{00000004-92CF-4DA7-BA68-434943F14BEB}"/>
            </c:ext>
          </c:extLst>
        </c:ser>
        <c:ser>
          <c:idx val="5"/>
          <c:order val="5"/>
          <c:tx>
            <c:strRef>
              <c:f>Plan1!$A$8</c:f>
              <c:strCache>
                <c:ptCount val="1"/>
                <c:pt idx="0">
                  <c:v>Urbanização</c:v>
                </c:pt>
              </c:strCache>
            </c:strRef>
          </c:tx>
          <c:spPr>
            <a:solidFill>
              <a:srgbClr val="E9CE05"/>
            </a:solidFill>
          </c:spPr>
          <c:invertIfNegative val="0"/>
          <c:cat>
            <c:strRef>
              <c:f>Plan1!$B$2:$F$2</c:f>
              <c:strCache>
                <c:ptCount val="5"/>
                <c:pt idx="0">
                  <c:v>Outros</c:v>
                </c:pt>
                <c:pt idx="1">
                  <c:v>RJ</c:v>
                </c:pt>
                <c:pt idx="2">
                  <c:v>ES</c:v>
                </c:pt>
                <c:pt idx="3">
                  <c:v>SE</c:v>
                </c:pt>
                <c:pt idx="4">
                  <c:v>BA</c:v>
                </c:pt>
              </c:strCache>
            </c:strRef>
          </c:cat>
          <c:val>
            <c:numRef>
              <c:f>Plan1!$B$8:$F$8</c:f>
              <c:numCache>
                <c:formatCode>General</c:formatCode>
                <c:ptCount val="5"/>
                <c:pt idx="0">
                  <c:v>0</c:v>
                </c:pt>
                <c:pt idx="1">
                  <c:v>0</c:v>
                </c:pt>
                <c:pt idx="2">
                  <c:v>6</c:v>
                </c:pt>
                <c:pt idx="3">
                  <c:v>4</c:v>
                </c:pt>
                <c:pt idx="4">
                  <c:v>3</c:v>
                </c:pt>
              </c:numCache>
            </c:numRef>
          </c:val>
          <c:extLst>
            <c:ext xmlns:c16="http://schemas.microsoft.com/office/drawing/2014/chart" uri="{C3380CC4-5D6E-409C-BE32-E72D297353CC}">
              <c16:uniqueId val="{00000005-92CF-4DA7-BA68-434943F14BEB}"/>
            </c:ext>
          </c:extLst>
        </c:ser>
        <c:ser>
          <c:idx val="6"/>
          <c:order val="6"/>
          <c:tx>
            <c:strRef>
              <c:f>Plan1!$A$9</c:f>
              <c:strCache>
                <c:ptCount val="1"/>
                <c:pt idx="0">
                  <c:v>Termoelétrica</c:v>
                </c:pt>
              </c:strCache>
            </c:strRef>
          </c:tx>
          <c:spPr>
            <a:solidFill>
              <a:schemeClr val="tx1"/>
            </a:solidFill>
          </c:spPr>
          <c:invertIfNegative val="0"/>
          <c:cat>
            <c:strRef>
              <c:f>Plan1!$B$2:$F$2</c:f>
              <c:strCache>
                <c:ptCount val="5"/>
                <c:pt idx="0">
                  <c:v>Outros</c:v>
                </c:pt>
                <c:pt idx="1">
                  <c:v>RJ</c:v>
                </c:pt>
                <c:pt idx="2">
                  <c:v>ES</c:v>
                </c:pt>
                <c:pt idx="3">
                  <c:v>SE</c:v>
                </c:pt>
                <c:pt idx="4">
                  <c:v>BA</c:v>
                </c:pt>
              </c:strCache>
            </c:strRef>
          </c:cat>
          <c:val>
            <c:numRef>
              <c:f>Plan1!$B$9:$F$9</c:f>
              <c:numCache>
                <c:formatCode>General</c:formatCode>
                <c:ptCount val="5"/>
                <c:pt idx="0">
                  <c:v>0</c:v>
                </c:pt>
                <c:pt idx="1">
                  <c:v>1</c:v>
                </c:pt>
                <c:pt idx="2">
                  <c:v>0</c:v>
                </c:pt>
                <c:pt idx="3">
                  <c:v>2</c:v>
                </c:pt>
                <c:pt idx="4">
                  <c:v>0</c:v>
                </c:pt>
              </c:numCache>
            </c:numRef>
          </c:val>
          <c:extLst>
            <c:ext xmlns:c16="http://schemas.microsoft.com/office/drawing/2014/chart" uri="{C3380CC4-5D6E-409C-BE32-E72D297353CC}">
              <c16:uniqueId val="{00000006-92CF-4DA7-BA68-434943F14BEB}"/>
            </c:ext>
          </c:extLst>
        </c:ser>
        <c:ser>
          <c:idx val="7"/>
          <c:order val="7"/>
          <c:tx>
            <c:strRef>
              <c:f>Plan1!$A$10</c:f>
              <c:strCache>
                <c:ptCount val="1"/>
                <c:pt idx="0">
                  <c:v>Outros</c:v>
                </c:pt>
              </c:strCache>
            </c:strRef>
          </c:tx>
          <c:spPr>
            <a:solidFill>
              <a:schemeClr val="accent6">
                <a:lumMod val="75000"/>
              </a:schemeClr>
            </a:solidFill>
          </c:spPr>
          <c:invertIfNegative val="0"/>
          <c:cat>
            <c:strRef>
              <c:f>Plan1!$B$2:$F$2</c:f>
              <c:strCache>
                <c:ptCount val="5"/>
                <c:pt idx="0">
                  <c:v>Outros</c:v>
                </c:pt>
                <c:pt idx="1">
                  <c:v>RJ</c:v>
                </c:pt>
                <c:pt idx="2">
                  <c:v>ES</c:v>
                </c:pt>
                <c:pt idx="3">
                  <c:v>SE</c:v>
                </c:pt>
                <c:pt idx="4">
                  <c:v>BA</c:v>
                </c:pt>
              </c:strCache>
            </c:strRef>
          </c:cat>
          <c:val>
            <c:numRef>
              <c:f>Plan1!$B$10:$F$10</c:f>
              <c:numCache>
                <c:formatCode>General</c:formatCode>
                <c:ptCount val="5"/>
                <c:pt idx="0">
                  <c:v>5</c:v>
                </c:pt>
                <c:pt idx="1">
                  <c:v>1</c:v>
                </c:pt>
                <c:pt idx="2">
                  <c:v>0</c:v>
                </c:pt>
                <c:pt idx="3">
                  <c:v>2</c:v>
                </c:pt>
                <c:pt idx="4">
                  <c:v>0</c:v>
                </c:pt>
              </c:numCache>
            </c:numRef>
          </c:val>
          <c:extLst>
            <c:ext xmlns:c16="http://schemas.microsoft.com/office/drawing/2014/chart" uri="{C3380CC4-5D6E-409C-BE32-E72D297353CC}">
              <c16:uniqueId val="{00000007-92CF-4DA7-BA68-434943F14BEB}"/>
            </c:ext>
          </c:extLst>
        </c:ser>
        <c:dLbls>
          <c:showLegendKey val="0"/>
          <c:showVal val="0"/>
          <c:showCatName val="0"/>
          <c:showSerName val="0"/>
          <c:showPercent val="0"/>
          <c:showBubbleSize val="0"/>
        </c:dLbls>
        <c:gapWidth val="150"/>
        <c:overlap val="100"/>
        <c:axId val="194421120"/>
        <c:axId val="194422656"/>
      </c:barChart>
      <c:catAx>
        <c:axId val="194421120"/>
        <c:scaling>
          <c:orientation val="minMax"/>
        </c:scaling>
        <c:delete val="0"/>
        <c:axPos val="l"/>
        <c:numFmt formatCode="General" sourceLinked="0"/>
        <c:majorTickMark val="out"/>
        <c:minorTickMark val="none"/>
        <c:tickLblPos val="nextTo"/>
        <c:crossAx val="194422656"/>
        <c:crosses val="autoZero"/>
        <c:auto val="1"/>
        <c:lblAlgn val="ctr"/>
        <c:lblOffset val="100"/>
        <c:noMultiLvlLbl val="0"/>
      </c:catAx>
      <c:valAx>
        <c:axId val="194422656"/>
        <c:scaling>
          <c:orientation val="minMax"/>
        </c:scaling>
        <c:delete val="0"/>
        <c:axPos val="b"/>
        <c:majorGridlines/>
        <c:numFmt formatCode="General" sourceLinked="1"/>
        <c:majorTickMark val="out"/>
        <c:minorTickMark val="none"/>
        <c:tickLblPos val="nextTo"/>
        <c:crossAx val="194421120"/>
        <c:crosses val="autoZero"/>
        <c:crossBetween val="between"/>
      </c:valAx>
    </c:plotArea>
    <c:legend>
      <c:legendPos val="b"/>
      <c:layout>
        <c:manualLayout>
          <c:xMode val="edge"/>
          <c:yMode val="edge"/>
          <c:x val="1.4815693046552487E-2"/>
          <c:y val="0.90097907169498537"/>
          <c:w val="0.97531480359826817"/>
          <c:h val="7.8264953722889899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25125-200A-9E47-9873-18613D66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1516</Words>
  <Characters>8191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2</cp:revision>
  <cp:lastPrinted>2014-07-14T17:33:00Z</cp:lastPrinted>
  <dcterms:created xsi:type="dcterms:W3CDTF">2022-05-06T12:13:00Z</dcterms:created>
  <dcterms:modified xsi:type="dcterms:W3CDTF">2022-05-06T12:13:00Z</dcterms:modified>
</cp:coreProperties>
</file>